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DF" w:rsidRPr="00375585" w:rsidRDefault="004858DF" w:rsidP="004858DF">
      <w:pPr>
        <w:jc w:val="center"/>
        <w:rPr>
          <w:rFonts w:ascii="Palatino Linotype" w:hAnsi="Palatino Linotype"/>
          <w:b/>
          <w:sz w:val="32"/>
          <w:szCs w:val="32"/>
          <w:lang w:val="it-IT"/>
        </w:rPr>
      </w:pPr>
      <w:r w:rsidRPr="00375585">
        <w:rPr>
          <w:rFonts w:ascii="Palatino Linotype" w:hAnsi="Palatino Linotype"/>
          <w:b/>
          <w:sz w:val="32"/>
          <w:szCs w:val="32"/>
          <w:lang w:val="it-IT"/>
        </w:rPr>
        <w:t>Universita’ degli studi di Parma</w:t>
      </w:r>
    </w:p>
    <w:p w:rsidR="004858DF" w:rsidRPr="00375585" w:rsidRDefault="004858DF" w:rsidP="004858DF">
      <w:pPr>
        <w:jc w:val="center"/>
        <w:rPr>
          <w:rFonts w:ascii="Palatino Linotype" w:hAnsi="Palatino Linotype"/>
          <w:b/>
          <w:sz w:val="32"/>
          <w:szCs w:val="32"/>
          <w:lang w:val="it-IT"/>
        </w:rPr>
      </w:pPr>
    </w:p>
    <w:p w:rsidR="004858DF" w:rsidRPr="00375585" w:rsidRDefault="004858DF" w:rsidP="004858DF">
      <w:pPr>
        <w:jc w:val="center"/>
        <w:rPr>
          <w:rFonts w:ascii="Palatino Linotype" w:hAnsi="Palatino Linotype"/>
          <w:sz w:val="32"/>
          <w:szCs w:val="32"/>
          <w:lang w:val="it-IT"/>
        </w:rPr>
      </w:pPr>
      <w:r w:rsidRPr="00375585">
        <w:rPr>
          <w:rFonts w:ascii="Palatino Linotype" w:hAnsi="Palatino Linotype"/>
          <w:sz w:val="32"/>
          <w:szCs w:val="32"/>
          <w:lang w:val="it-IT"/>
        </w:rPr>
        <w:t>Dipartimento di Scienze Chimiche, della vita e della Sostenibilità Ambientale</w:t>
      </w:r>
    </w:p>
    <w:p w:rsidR="004858DF" w:rsidRPr="00375585" w:rsidRDefault="004858DF" w:rsidP="004858DF">
      <w:pPr>
        <w:jc w:val="center"/>
        <w:rPr>
          <w:rFonts w:ascii="Palatino Linotype" w:hAnsi="Palatino Linotype"/>
          <w:sz w:val="32"/>
          <w:szCs w:val="32"/>
          <w:lang w:val="it-IT"/>
        </w:rPr>
      </w:pPr>
      <w:r w:rsidRPr="00375585">
        <w:rPr>
          <w:rFonts w:ascii="Palatino Linotype" w:hAnsi="Palatino Linotype"/>
          <w:sz w:val="32"/>
          <w:szCs w:val="32"/>
          <w:lang w:val="it-IT"/>
        </w:rPr>
        <w:t>Dottorato in Biotecnologie e Bioscienze XXXII ciclo</w:t>
      </w:r>
    </w:p>
    <w:p w:rsidR="0045067A" w:rsidRPr="00375585" w:rsidRDefault="00375585">
      <w:pPr>
        <w:rPr>
          <w:rFonts w:ascii="Palatino Linotype" w:hAnsi="Palatino Linotype"/>
          <w:sz w:val="32"/>
          <w:szCs w:val="32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  <w:r w:rsidRPr="00BD6929">
        <w:rPr>
          <w:rFonts w:ascii="Palatino Linotype" w:hAnsi="Palatino Linotype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AB271" wp14:editId="6C2C5B36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2905125" cy="1386670"/>
                <wp:effectExtent l="19050" t="19050" r="285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8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8DF" w:rsidRPr="00375585" w:rsidRDefault="004858DF" w:rsidP="004858D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375585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  <w:lang w:val="it-IT"/>
                              </w:rPr>
                              <w:t>Relazione attività di ricerca</w:t>
                            </w:r>
                            <w:r w:rsidR="00F84B8C" w:rsidRPr="00375585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  <w:lang w:val="it-IT"/>
                              </w:rPr>
                              <w:t xml:space="preserve"> – terzo anno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B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55pt;width:228.75pt;height:109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" fillcolor="white [3201]" strokeweight="2.5pt">
                <v:textbox>
                  <w:txbxContent>
                    <w:p w:rsidR="004858DF" w:rsidRPr="00375585" w:rsidRDefault="004858DF" w:rsidP="004858DF">
                      <w:pPr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  <w:lang w:val="it-IT"/>
                        </w:rPr>
                      </w:pPr>
                      <w:r w:rsidRPr="00375585">
                        <w:rPr>
                          <w:rFonts w:ascii="Palatino Linotype" w:hAnsi="Palatino Linotype"/>
                          <w:b/>
                          <w:sz w:val="48"/>
                          <w:szCs w:val="48"/>
                          <w:lang w:val="it-IT"/>
                        </w:rPr>
                        <w:t>Relazione attività di ricerca</w:t>
                      </w:r>
                      <w:r w:rsidR="00F84B8C" w:rsidRPr="00375585">
                        <w:rPr>
                          <w:rFonts w:ascii="Palatino Linotype" w:hAnsi="Palatino Linotype"/>
                          <w:b/>
                          <w:sz w:val="48"/>
                          <w:szCs w:val="48"/>
                          <w:lang w:val="it-IT"/>
                        </w:rPr>
                        <w:t xml:space="preserve"> – terzo anno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BD6929" w:rsidRDefault="004858DF" w:rsidP="004858DF">
      <w:pPr>
        <w:rPr>
          <w:rFonts w:ascii="Palatino Linotype" w:hAnsi="Palatino Linotype"/>
          <w:lang w:val="it-IT"/>
        </w:rPr>
      </w:pPr>
    </w:p>
    <w:p w:rsidR="004858DF" w:rsidRPr="00375585" w:rsidRDefault="004858DF" w:rsidP="004858DF">
      <w:pPr>
        <w:rPr>
          <w:rFonts w:ascii="Palatino Linotype" w:hAnsi="Palatino Linotype"/>
          <w:sz w:val="32"/>
          <w:szCs w:val="32"/>
          <w:lang w:val="it-IT"/>
        </w:rPr>
      </w:pPr>
    </w:p>
    <w:p w:rsidR="004858DF" w:rsidRPr="00375585" w:rsidRDefault="004858DF" w:rsidP="004858DF">
      <w:pPr>
        <w:rPr>
          <w:rFonts w:ascii="Palatino Linotype" w:hAnsi="Palatino Linotype"/>
          <w:sz w:val="32"/>
          <w:szCs w:val="32"/>
          <w:lang w:val="it-IT"/>
        </w:rPr>
      </w:pPr>
    </w:p>
    <w:p w:rsidR="004858DF" w:rsidRPr="00375585" w:rsidRDefault="004858DF" w:rsidP="004858DF">
      <w:pPr>
        <w:tabs>
          <w:tab w:val="left" w:pos="1868"/>
        </w:tabs>
        <w:rPr>
          <w:rFonts w:ascii="Palatino Linotype" w:hAnsi="Palatino Linotype"/>
          <w:sz w:val="32"/>
          <w:szCs w:val="32"/>
          <w:lang w:val="it-IT"/>
        </w:rPr>
      </w:pPr>
      <w:r w:rsidRPr="00375585">
        <w:rPr>
          <w:rFonts w:ascii="Palatino Linotype" w:hAnsi="Palatino Linotype"/>
          <w:b/>
          <w:sz w:val="32"/>
          <w:szCs w:val="32"/>
          <w:lang w:val="it-IT"/>
        </w:rPr>
        <w:t xml:space="preserve">Dottoranda: </w:t>
      </w:r>
      <w:r w:rsidRPr="00375585">
        <w:rPr>
          <w:rFonts w:ascii="Palatino Linotype" w:hAnsi="Palatino Linotype"/>
          <w:sz w:val="32"/>
          <w:szCs w:val="32"/>
          <w:lang w:val="it-IT"/>
        </w:rPr>
        <w:t>Simona Cantarella</w:t>
      </w:r>
    </w:p>
    <w:p w:rsidR="004858DF" w:rsidRPr="00375585" w:rsidRDefault="004858DF" w:rsidP="004858DF">
      <w:pPr>
        <w:tabs>
          <w:tab w:val="left" w:pos="1868"/>
        </w:tabs>
        <w:rPr>
          <w:rFonts w:ascii="Palatino Linotype" w:hAnsi="Palatino Linotype"/>
          <w:sz w:val="32"/>
          <w:szCs w:val="32"/>
          <w:lang w:val="it-IT"/>
        </w:rPr>
      </w:pPr>
      <w:r w:rsidRPr="00375585">
        <w:rPr>
          <w:rFonts w:ascii="Palatino Linotype" w:hAnsi="Palatino Linotype"/>
          <w:b/>
          <w:sz w:val="32"/>
          <w:szCs w:val="32"/>
          <w:lang w:val="it-IT"/>
        </w:rPr>
        <w:t xml:space="preserve">Tutor: </w:t>
      </w:r>
      <w:r w:rsidRPr="00375585">
        <w:rPr>
          <w:rFonts w:ascii="Palatino Linotype" w:hAnsi="Palatino Linotype"/>
          <w:sz w:val="32"/>
          <w:szCs w:val="32"/>
          <w:lang w:val="it-IT"/>
        </w:rPr>
        <w:t>Prof. Giorgio Dieci</w:t>
      </w:r>
    </w:p>
    <w:p w:rsidR="00BD6929" w:rsidRDefault="00BD6929" w:rsidP="004858DF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BD6929" w:rsidRDefault="00BD6929" w:rsidP="004858DF">
      <w:pPr>
        <w:tabs>
          <w:tab w:val="left" w:pos="1868"/>
        </w:tabs>
        <w:rPr>
          <w:rFonts w:ascii="Palatino Linotype" w:hAnsi="Palatino Linotype"/>
          <w:sz w:val="32"/>
          <w:szCs w:val="32"/>
          <w:lang w:val="it-IT"/>
        </w:rPr>
      </w:pPr>
    </w:p>
    <w:p w:rsidR="00375585" w:rsidRPr="00375585" w:rsidRDefault="00375585" w:rsidP="004858DF">
      <w:pPr>
        <w:tabs>
          <w:tab w:val="left" w:pos="1868"/>
        </w:tabs>
        <w:rPr>
          <w:rFonts w:ascii="Palatino Linotype" w:hAnsi="Palatino Linotype"/>
          <w:sz w:val="32"/>
          <w:szCs w:val="32"/>
          <w:lang w:val="it-IT"/>
        </w:rPr>
      </w:pPr>
    </w:p>
    <w:p w:rsidR="00375585" w:rsidRPr="00375585" w:rsidRDefault="004858DF" w:rsidP="00375585">
      <w:pPr>
        <w:tabs>
          <w:tab w:val="left" w:pos="1868"/>
        </w:tabs>
        <w:jc w:val="center"/>
        <w:rPr>
          <w:rFonts w:ascii="Palatino Linotype" w:hAnsi="Palatino Linotype"/>
          <w:sz w:val="32"/>
          <w:szCs w:val="32"/>
          <w:lang w:val="it-IT"/>
        </w:rPr>
      </w:pPr>
      <w:r w:rsidRPr="00375585">
        <w:rPr>
          <w:rFonts w:ascii="Palatino Linotype" w:hAnsi="Palatino Linotype"/>
          <w:b/>
          <w:sz w:val="32"/>
          <w:szCs w:val="32"/>
          <w:lang w:val="it-IT"/>
        </w:rPr>
        <w:t xml:space="preserve">Coordinatore: </w:t>
      </w:r>
      <w:r w:rsidRPr="00375585">
        <w:rPr>
          <w:rFonts w:ascii="Palatino Linotype" w:hAnsi="Palatino Linotype"/>
          <w:sz w:val="32"/>
          <w:szCs w:val="32"/>
          <w:lang w:val="it-IT"/>
        </w:rPr>
        <w:t>Prof. Simone Otto</w:t>
      </w:r>
      <w:bookmarkStart w:id="0" w:name="_GoBack"/>
      <w:bookmarkEnd w:id="0"/>
      <w:r w:rsidRPr="00375585">
        <w:rPr>
          <w:rFonts w:ascii="Palatino Linotype" w:hAnsi="Palatino Linotype"/>
          <w:sz w:val="32"/>
          <w:szCs w:val="32"/>
          <w:lang w:val="it-IT"/>
        </w:rPr>
        <w:t>nello</w:t>
      </w:r>
    </w:p>
    <w:p w:rsidR="004858DF" w:rsidRPr="00BD6929" w:rsidRDefault="004858DF" w:rsidP="004858DF">
      <w:pPr>
        <w:ind w:left="270"/>
        <w:jc w:val="center"/>
        <w:rPr>
          <w:rFonts w:ascii="Palatino Linotype" w:hAnsi="Palatino Linotype"/>
          <w:b/>
          <w:u w:val="single"/>
          <w:lang w:val="it-IT"/>
        </w:rPr>
      </w:pPr>
      <w:r w:rsidRPr="00BD6929">
        <w:rPr>
          <w:rFonts w:ascii="Palatino Linotype" w:hAnsi="Palatino Linotype"/>
          <w:b/>
          <w:u w:val="single"/>
          <w:lang w:val="it-IT"/>
        </w:rPr>
        <w:lastRenderedPageBreak/>
        <w:t>Relazione attivita’ di ricerca</w:t>
      </w:r>
    </w:p>
    <w:p w:rsidR="004858DF" w:rsidRPr="00BD6929" w:rsidRDefault="004858DF" w:rsidP="004858DF">
      <w:pPr>
        <w:ind w:left="270"/>
        <w:jc w:val="center"/>
        <w:rPr>
          <w:rFonts w:ascii="Palatino Linotype" w:hAnsi="Palatino Linotype"/>
          <w:b/>
          <w:u w:val="single"/>
          <w:lang w:val="it-IT"/>
        </w:rPr>
      </w:pPr>
    </w:p>
    <w:p w:rsidR="004858DF" w:rsidRPr="00BD6929" w:rsidRDefault="00BD6929" w:rsidP="002D12E6">
      <w:pPr>
        <w:rPr>
          <w:rFonts w:ascii="Palatino Linotype" w:hAnsi="Palatino Linotype"/>
        </w:rPr>
      </w:pPr>
      <w:r w:rsidRPr="00BD6929">
        <w:rPr>
          <w:rFonts w:ascii="Palatino Linotype" w:hAnsi="Palatino Linotype"/>
          <w:b/>
        </w:rPr>
        <w:t>Research project</w:t>
      </w:r>
      <w:r w:rsidR="004858DF" w:rsidRPr="00BD6929">
        <w:rPr>
          <w:rFonts w:ascii="Palatino Linotype" w:hAnsi="Palatino Linotype"/>
          <w:b/>
        </w:rPr>
        <w:t>:</w:t>
      </w:r>
      <w:r w:rsidR="004858DF" w:rsidRPr="00BD6929">
        <w:rPr>
          <w:rFonts w:ascii="Palatino Linotype" w:hAnsi="Palatino Linotype"/>
        </w:rPr>
        <w:t xml:space="preserve"> Exploring the potential of </w:t>
      </w:r>
      <w:r w:rsidR="00F84B8C" w:rsidRPr="00F84B8C">
        <w:rPr>
          <w:rFonts w:ascii="Palatino Linotype" w:hAnsi="Palatino Linotype"/>
          <w:i/>
        </w:rPr>
        <w:t>Alu</w:t>
      </w:r>
      <w:r w:rsidR="004858DF" w:rsidRPr="00BD6929">
        <w:rPr>
          <w:rFonts w:ascii="Palatino Linotype" w:hAnsi="Palatino Linotype"/>
        </w:rPr>
        <w:t xml:space="preserve"> RNAs as novel epigenetic players and molecular biomarkers in cancer biology</w:t>
      </w:r>
    </w:p>
    <w:p w:rsidR="004858DF" w:rsidRPr="00BD6929" w:rsidRDefault="004858DF" w:rsidP="004858DF">
      <w:pPr>
        <w:ind w:left="270"/>
        <w:rPr>
          <w:rFonts w:ascii="Palatino Linotype" w:hAnsi="Palatino Linotype"/>
        </w:rPr>
      </w:pPr>
    </w:p>
    <w:p w:rsidR="004858DF" w:rsidRPr="00BD6929" w:rsidRDefault="004858DF" w:rsidP="002D12E6">
      <w:pPr>
        <w:rPr>
          <w:rFonts w:ascii="Palatino Linotype" w:hAnsi="Palatino Linotype"/>
          <w:b/>
        </w:rPr>
      </w:pPr>
      <w:r w:rsidRPr="00BD6929">
        <w:rPr>
          <w:rFonts w:ascii="Palatino Linotype" w:hAnsi="Palatino Linotype"/>
          <w:b/>
        </w:rPr>
        <w:t>Introduction</w:t>
      </w:r>
    </w:p>
    <w:p w:rsidR="0017728B" w:rsidRDefault="00F84B8C" w:rsidP="002D12E6">
      <w:pPr>
        <w:jc w:val="both"/>
        <w:rPr>
          <w:rFonts w:ascii="Palatino Linotype" w:hAnsi="Palatino Linotype"/>
        </w:rPr>
      </w:pPr>
      <w:r w:rsidRPr="00F84B8C">
        <w:rPr>
          <w:rFonts w:ascii="Palatino Linotype" w:hAnsi="Palatino Linotype"/>
          <w:i/>
        </w:rPr>
        <w:t>Alu</w:t>
      </w:r>
      <w:r w:rsidR="00866B50" w:rsidRPr="00BD6929">
        <w:rPr>
          <w:rFonts w:ascii="Palatino Linotype" w:hAnsi="Palatino Linotype"/>
        </w:rPr>
        <w:t xml:space="preserve"> </w:t>
      </w:r>
      <w:r w:rsidR="00F27FE8" w:rsidRPr="00BD6929">
        <w:rPr>
          <w:rFonts w:ascii="Palatino Linotype" w:hAnsi="Palatino Linotype"/>
        </w:rPr>
        <w:t>retrotransposons</w:t>
      </w:r>
      <w:r w:rsidR="00866B50" w:rsidRPr="00BD6929">
        <w:rPr>
          <w:rFonts w:ascii="Palatino Linotype" w:hAnsi="Palatino Linotype"/>
        </w:rPr>
        <w:t xml:space="preserve"> are repetitive sequences that constitute the 10% of the human genome.</w:t>
      </w:r>
      <w:r w:rsidR="00936593" w:rsidRPr="00BD6929">
        <w:rPr>
          <w:rFonts w:ascii="Palatino Linotype" w:hAnsi="Palatino Linotype"/>
        </w:rPr>
        <w:t xml:space="preserve"> </w:t>
      </w:r>
      <w:r w:rsidR="00DE7C70">
        <w:rPr>
          <w:rFonts w:ascii="Palatino Linotype" w:hAnsi="Palatino Linotype"/>
        </w:rPr>
        <w:t xml:space="preserve">These elements </w:t>
      </w:r>
      <w:r w:rsidR="00936593" w:rsidRPr="00BD6929">
        <w:rPr>
          <w:rFonts w:ascii="Palatino Linotype" w:hAnsi="Palatino Linotype"/>
        </w:rPr>
        <w:t xml:space="preserve">have </w:t>
      </w:r>
      <w:r w:rsidR="006E08BB" w:rsidRPr="00BD6929">
        <w:rPr>
          <w:rFonts w:ascii="Palatino Linotype" w:hAnsi="Palatino Linotype"/>
        </w:rPr>
        <w:t>often been referred to as</w:t>
      </w:r>
      <w:r w:rsidR="00936593" w:rsidRPr="00BD6929">
        <w:rPr>
          <w:rFonts w:ascii="Palatino Linotype" w:hAnsi="Palatino Linotype"/>
        </w:rPr>
        <w:t xml:space="preserve"> </w:t>
      </w:r>
      <w:r w:rsidR="006E08BB" w:rsidRPr="00BD6929">
        <w:rPr>
          <w:rFonts w:ascii="Palatino Linotype" w:hAnsi="Palatino Linotype"/>
        </w:rPr>
        <w:t>“</w:t>
      </w:r>
      <w:r w:rsidR="00866B50" w:rsidRPr="00BD6929">
        <w:rPr>
          <w:rFonts w:ascii="Palatino Linotype" w:hAnsi="Palatino Linotype"/>
        </w:rPr>
        <w:t>junk DNA</w:t>
      </w:r>
      <w:r w:rsidR="006E08BB" w:rsidRPr="00BD6929">
        <w:rPr>
          <w:rFonts w:ascii="Palatino Linotype" w:hAnsi="Palatino Linotype"/>
        </w:rPr>
        <w:t>”</w:t>
      </w:r>
      <w:r w:rsidR="00866B50" w:rsidRPr="00BD6929">
        <w:rPr>
          <w:rFonts w:ascii="Palatino Linotype" w:hAnsi="Palatino Linotype"/>
        </w:rPr>
        <w:t xml:space="preserve"> for their</w:t>
      </w:r>
      <w:r w:rsidR="006E08BB" w:rsidRPr="00BD6929">
        <w:rPr>
          <w:rFonts w:ascii="Palatino Linotype" w:hAnsi="Palatino Linotype"/>
        </w:rPr>
        <w:t xml:space="preserve"> apparent</w:t>
      </w:r>
      <w:r w:rsidR="00866B50" w:rsidRPr="00BD6929">
        <w:rPr>
          <w:rFonts w:ascii="Palatino Linotype" w:hAnsi="Palatino Linotype"/>
        </w:rPr>
        <w:t xml:space="preserve"> </w:t>
      </w:r>
      <w:r w:rsidR="006E08BB" w:rsidRPr="00BD6929">
        <w:rPr>
          <w:rFonts w:ascii="Palatino Linotype" w:hAnsi="Palatino Linotype"/>
        </w:rPr>
        <w:t>lack of a</w:t>
      </w:r>
      <w:r w:rsidR="00866B50" w:rsidRPr="00BD6929">
        <w:rPr>
          <w:rFonts w:ascii="Palatino Linotype" w:hAnsi="Palatino Linotype"/>
        </w:rPr>
        <w:t xml:space="preserve"> </w:t>
      </w:r>
      <w:r w:rsidR="006E08BB" w:rsidRPr="00BD6929">
        <w:rPr>
          <w:rFonts w:ascii="Palatino Linotype" w:hAnsi="Palatino Linotype"/>
        </w:rPr>
        <w:t xml:space="preserve">biological function </w:t>
      </w:r>
      <w:r w:rsidR="00866B50" w:rsidRPr="00BD6929">
        <w:rPr>
          <w:rFonts w:ascii="Palatino Linotype" w:hAnsi="Palatino Linotype"/>
        </w:rPr>
        <w:t>and</w:t>
      </w:r>
      <w:r w:rsidR="006E08BB" w:rsidRPr="00BD6929">
        <w:rPr>
          <w:rFonts w:ascii="Palatino Linotype" w:hAnsi="Palatino Linotype"/>
        </w:rPr>
        <w:t xml:space="preserve"> the</w:t>
      </w:r>
      <w:r w:rsidR="00866B50" w:rsidRPr="00BD6929">
        <w:rPr>
          <w:rFonts w:ascii="Palatino Linotype" w:hAnsi="Palatino Linotype"/>
        </w:rPr>
        <w:t xml:space="preserve"> tight epigenetic silencing in normal cell conditions</w:t>
      </w:r>
      <w:r w:rsidR="006E08BB" w:rsidRPr="00BD6929">
        <w:rPr>
          <w:rFonts w:ascii="Palatino Linotype" w:hAnsi="Palatino Linotype"/>
        </w:rPr>
        <w:t>. However</w:t>
      </w:r>
      <w:r w:rsidR="00866B50" w:rsidRPr="00BD6929">
        <w:rPr>
          <w:rFonts w:ascii="Palatino Linotype" w:hAnsi="Palatino Linotype"/>
        </w:rPr>
        <w:t>,</w:t>
      </w:r>
      <w:r w:rsidR="006E08BB" w:rsidRPr="00BD6929">
        <w:rPr>
          <w:rFonts w:ascii="Palatino Linotype" w:hAnsi="Palatino Linotype"/>
        </w:rPr>
        <w:t xml:space="preserve"> evidence such as </w:t>
      </w:r>
      <w:r w:rsidRPr="00F84B8C">
        <w:rPr>
          <w:rFonts w:ascii="Palatino Linotype" w:hAnsi="Palatino Linotype"/>
          <w:i/>
        </w:rPr>
        <w:t>Alu</w:t>
      </w:r>
      <w:r w:rsidR="006E08BB" w:rsidRPr="00BD6929">
        <w:rPr>
          <w:rFonts w:ascii="Palatino Linotype" w:hAnsi="Palatino Linotype"/>
        </w:rPr>
        <w:t xml:space="preserve"> upregulation in response to Adenovirus 5 (Ad5) infection suggests their involvement in cell functions.</w:t>
      </w:r>
      <w:r w:rsidR="0017728B">
        <w:rPr>
          <w:rFonts w:ascii="Palatino Linotype" w:hAnsi="Palatino Linotype"/>
        </w:rPr>
        <w:t xml:space="preserve"> We hypothesized that Adenovirus early e1a protein might have a role in </w:t>
      </w:r>
      <w:r w:rsidRPr="00F84B8C">
        <w:rPr>
          <w:rFonts w:ascii="Palatino Linotype" w:hAnsi="Palatino Linotype"/>
          <w:i/>
        </w:rPr>
        <w:t>Alu</w:t>
      </w:r>
      <w:r w:rsidR="0017728B">
        <w:rPr>
          <w:rFonts w:ascii="Palatino Linotype" w:hAnsi="Palatino Linotype"/>
        </w:rPr>
        <w:t xml:space="preserve"> activation.</w:t>
      </w:r>
      <w:r w:rsidR="00660056" w:rsidRPr="00BD6929">
        <w:rPr>
          <w:rFonts w:ascii="Palatino Linotype" w:hAnsi="Palatino Linotype"/>
        </w:rPr>
        <w:t xml:space="preserve"> Indeed, it is very well established that e1a induces global chromatin rearrangements </w:t>
      </w:r>
      <w:r w:rsidR="0017728B">
        <w:rPr>
          <w:rFonts w:ascii="Palatino Linotype" w:hAnsi="Palatino Linotype"/>
        </w:rPr>
        <w:t xml:space="preserve">of the host genome </w:t>
      </w:r>
      <w:r w:rsidR="00660056" w:rsidRPr="00BD6929">
        <w:rPr>
          <w:rFonts w:ascii="Palatino Linotype" w:hAnsi="Palatino Linotype"/>
        </w:rPr>
        <w:t xml:space="preserve">through interactions with the tumor suppressor Rb and the histone acetyltransferase p300. </w:t>
      </w:r>
      <w:r w:rsidR="0017728B">
        <w:rPr>
          <w:rFonts w:ascii="Palatino Linotype" w:hAnsi="Palatino Linotype"/>
        </w:rPr>
        <w:t>e1a is also</w:t>
      </w:r>
      <w:r w:rsidR="00660056" w:rsidRPr="00BD6929">
        <w:rPr>
          <w:rFonts w:ascii="Palatino Linotype" w:hAnsi="Palatino Linotype"/>
        </w:rPr>
        <w:t xml:space="preserve"> </w:t>
      </w:r>
      <w:r w:rsidR="0017728B">
        <w:rPr>
          <w:rFonts w:ascii="Palatino Linotype" w:hAnsi="Palatino Linotype"/>
        </w:rPr>
        <w:t xml:space="preserve">capable to bind </w:t>
      </w:r>
      <w:r w:rsidR="00660056" w:rsidRPr="00BD6929">
        <w:rPr>
          <w:rFonts w:ascii="Palatino Linotype" w:hAnsi="Palatino Linotype"/>
        </w:rPr>
        <w:t xml:space="preserve">the </w:t>
      </w:r>
      <w:proofErr w:type="spellStart"/>
      <w:r w:rsidR="00660056" w:rsidRPr="00BD6929">
        <w:rPr>
          <w:rFonts w:ascii="Palatino Linotype" w:hAnsi="Palatino Linotype"/>
        </w:rPr>
        <w:t>Swi</w:t>
      </w:r>
      <w:proofErr w:type="spellEnd"/>
      <w:r w:rsidR="00660056" w:rsidRPr="00BD6929">
        <w:rPr>
          <w:rFonts w:ascii="Palatino Linotype" w:hAnsi="Palatino Linotype"/>
        </w:rPr>
        <w:t>/</w:t>
      </w:r>
      <w:proofErr w:type="spellStart"/>
      <w:r w:rsidR="00660056" w:rsidRPr="00BD6929">
        <w:rPr>
          <w:rFonts w:ascii="Palatino Linotype" w:hAnsi="Palatino Linotype"/>
        </w:rPr>
        <w:t>Snf</w:t>
      </w:r>
      <w:proofErr w:type="spellEnd"/>
      <w:r w:rsidR="00660056" w:rsidRPr="00BD6929">
        <w:rPr>
          <w:rFonts w:ascii="Palatino Linotype" w:hAnsi="Palatino Linotype"/>
        </w:rPr>
        <w:t xml:space="preserve"> </w:t>
      </w:r>
      <w:r w:rsidR="002D12E6" w:rsidRPr="00BD6929">
        <w:rPr>
          <w:rFonts w:ascii="Palatino Linotype" w:hAnsi="Palatino Linotype"/>
        </w:rPr>
        <w:t xml:space="preserve">related </w:t>
      </w:r>
      <w:r w:rsidR="00660056" w:rsidRPr="00BD6929">
        <w:rPr>
          <w:rFonts w:ascii="Palatino Linotype" w:hAnsi="Palatino Linotype"/>
        </w:rPr>
        <w:t>helicase p400</w:t>
      </w:r>
      <w:r w:rsidR="0017728B">
        <w:rPr>
          <w:rFonts w:ascii="Palatino Linotype" w:hAnsi="Palatino Linotype"/>
        </w:rPr>
        <w:t xml:space="preserve"> protein, but the functional role of this interaction has not been clarified yet.</w:t>
      </w:r>
    </w:p>
    <w:p w:rsidR="00866B50" w:rsidRPr="00BD6929" w:rsidRDefault="00866B50" w:rsidP="002D12E6">
      <w:pPr>
        <w:jc w:val="both"/>
        <w:rPr>
          <w:rFonts w:ascii="Palatino Linotype" w:hAnsi="Palatino Linotype"/>
        </w:rPr>
      </w:pPr>
      <w:r w:rsidRPr="00BD6929">
        <w:rPr>
          <w:rFonts w:ascii="Palatino Linotype" w:hAnsi="Palatino Linotype"/>
        </w:rPr>
        <w:t xml:space="preserve">The aim of </w:t>
      </w:r>
      <w:r w:rsidR="002D12E6" w:rsidRPr="00BD6929">
        <w:rPr>
          <w:rFonts w:ascii="Palatino Linotype" w:hAnsi="Palatino Linotype"/>
        </w:rPr>
        <w:t>this</w:t>
      </w:r>
      <w:r w:rsidRPr="00BD6929">
        <w:rPr>
          <w:rFonts w:ascii="Palatino Linotype" w:hAnsi="Palatino Linotype"/>
        </w:rPr>
        <w:t xml:space="preserve"> PhD </w:t>
      </w:r>
      <w:r w:rsidR="002D12E6" w:rsidRPr="00BD6929">
        <w:rPr>
          <w:rFonts w:ascii="Palatino Linotype" w:hAnsi="Palatino Linotype"/>
        </w:rPr>
        <w:t xml:space="preserve">project </w:t>
      </w:r>
      <w:r w:rsidRPr="00BD6929">
        <w:rPr>
          <w:rFonts w:ascii="Palatino Linotype" w:hAnsi="Palatino Linotype"/>
        </w:rPr>
        <w:t xml:space="preserve">is </w:t>
      </w:r>
      <w:r w:rsidR="002D12E6" w:rsidRPr="00BD6929">
        <w:rPr>
          <w:rFonts w:ascii="Palatino Linotype" w:hAnsi="Palatino Linotype"/>
        </w:rPr>
        <w:t xml:space="preserve">to </w:t>
      </w:r>
      <w:r w:rsidR="0017728B">
        <w:rPr>
          <w:rFonts w:ascii="Palatino Linotype" w:hAnsi="Palatino Linotype"/>
        </w:rPr>
        <w:t>dissect</w:t>
      </w:r>
      <w:r w:rsidRPr="00BD6929">
        <w:rPr>
          <w:rFonts w:ascii="Palatino Linotype" w:hAnsi="Palatino Linotype"/>
        </w:rPr>
        <w:t xml:space="preserve"> the molecular mechanism of </w:t>
      </w:r>
      <w:r w:rsidR="00F84B8C" w:rsidRPr="00F84B8C">
        <w:rPr>
          <w:rFonts w:ascii="Palatino Linotype" w:hAnsi="Palatino Linotype"/>
          <w:i/>
        </w:rPr>
        <w:t>Alu</w:t>
      </w:r>
      <w:r w:rsidRPr="00BD6929">
        <w:rPr>
          <w:rFonts w:ascii="Palatino Linotype" w:hAnsi="Palatino Linotype"/>
        </w:rPr>
        <w:t xml:space="preserve"> dysregulation in response to Ad5 infection and </w:t>
      </w:r>
      <w:r w:rsidR="002D12E6" w:rsidRPr="00BD6929">
        <w:rPr>
          <w:rFonts w:ascii="Palatino Linotype" w:hAnsi="Palatino Linotype"/>
        </w:rPr>
        <w:t>to investigate</w:t>
      </w:r>
      <w:r w:rsidRPr="00BD6929">
        <w:rPr>
          <w:rFonts w:ascii="Palatino Linotype" w:hAnsi="Palatino Linotype"/>
        </w:rPr>
        <w:t xml:space="preserve"> new possible roles of </w:t>
      </w:r>
      <w:r w:rsidR="00F84B8C" w:rsidRPr="00F84B8C">
        <w:rPr>
          <w:rFonts w:ascii="Palatino Linotype" w:hAnsi="Palatino Linotype"/>
          <w:i/>
        </w:rPr>
        <w:t>Alu</w:t>
      </w:r>
      <w:r w:rsidR="002D12E6" w:rsidRPr="00BD6929">
        <w:rPr>
          <w:rFonts w:ascii="Palatino Linotype" w:hAnsi="Palatino Linotype"/>
        </w:rPr>
        <w:t xml:space="preserve"> RNAs</w:t>
      </w:r>
      <w:r w:rsidRPr="00BD6929">
        <w:rPr>
          <w:rFonts w:ascii="Palatino Linotype" w:hAnsi="Palatino Linotype"/>
        </w:rPr>
        <w:t xml:space="preserve"> in gene expression.</w:t>
      </w:r>
    </w:p>
    <w:p w:rsidR="00866B50" w:rsidRPr="00BD6929" w:rsidRDefault="0017728B" w:rsidP="002D12E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3D2CD9" w:rsidRPr="00BD6929">
        <w:rPr>
          <w:rFonts w:ascii="Palatino Linotype" w:hAnsi="Palatino Linotype"/>
        </w:rPr>
        <w:t xml:space="preserve">uring the first two years of my PhD </w:t>
      </w:r>
      <w:r w:rsidR="003C6958" w:rsidRPr="00BD6929">
        <w:rPr>
          <w:rFonts w:ascii="Palatino Linotype" w:hAnsi="Palatino Linotype"/>
        </w:rPr>
        <w:t xml:space="preserve">we </w:t>
      </w:r>
      <w:r w:rsidR="002D12E6" w:rsidRPr="00BD6929">
        <w:rPr>
          <w:rFonts w:ascii="Palatino Linotype" w:hAnsi="Palatino Linotype"/>
        </w:rPr>
        <w:t>performed</w:t>
      </w:r>
      <w:r w:rsidR="003C6958" w:rsidRPr="00BD6929">
        <w:rPr>
          <w:rFonts w:ascii="Palatino Linotype" w:hAnsi="Palatino Linotype"/>
        </w:rPr>
        <w:t xml:space="preserve"> </w:t>
      </w:r>
      <w:r w:rsidR="00F84B8C" w:rsidRPr="00F84B8C">
        <w:rPr>
          <w:rFonts w:ascii="Palatino Linotype" w:hAnsi="Palatino Linotype"/>
          <w:i/>
        </w:rPr>
        <w:t>Alu</w:t>
      </w:r>
      <w:r w:rsidR="003C6958" w:rsidRPr="00BD6929">
        <w:rPr>
          <w:rFonts w:ascii="Palatino Linotype" w:hAnsi="Palatino Linotype"/>
        </w:rPr>
        <w:t xml:space="preserve"> transcriptome </w:t>
      </w:r>
      <w:r w:rsidR="003D2CD9" w:rsidRPr="00BD6929">
        <w:rPr>
          <w:rFonts w:ascii="Palatino Linotype" w:hAnsi="Palatino Linotype"/>
        </w:rPr>
        <w:t>profiling</w:t>
      </w:r>
      <w:r w:rsidR="003C6958" w:rsidRPr="00BD6929">
        <w:rPr>
          <w:rFonts w:ascii="Palatino Linotype" w:hAnsi="Palatino Linotype"/>
        </w:rPr>
        <w:t xml:space="preserve"> </w:t>
      </w:r>
      <w:r w:rsidR="003D2CD9" w:rsidRPr="00BD6929">
        <w:rPr>
          <w:rFonts w:ascii="Palatino Linotype" w:hAnsi="Palatino Linotype"/>
        </w:rPr>
        <w:t>in</w:t>
      </w:r>
      <w:r w:rsidR="003C6958" w:rsidRPr="00BD6929">
        <w:rPr>
          <w:rFonts w:ascii="Palatino Linotype" w:hAnsi="Palatino Linotype"/>
        </w:rPr>
        <w:t xml:space="preserve"> e1a-infected human fib</w:t>
      </w:r>
      <w:r w:rsidR="003D2CD9" w:rsidRPr="00BD6929">
        <w:rPr>
          <w:rFonts w:ascii="Palatino Linotype" w:hAnsi="Palatino Linotype"/>
        </w:rPr>
        <w:t>r</w:t>
      </w:r>
      <w:r w:rsidR="003C6958" w:rsidRPr="00BD6929">
        <w:rPr>
          <w:rFonts w:ascii="Palatino Linotype" w:hAnsi="Palatino Linotype"/>
        </w:rPr>
        <w:t xml:space="preserve">oblasts, </w:t>
      </w:r>
      <w:r w:rsidR="003D2CD9" w:rsidRPr="00BD6929">
        <w:rPr>
          <w:rFonts w:ascii="Palatino Linotype" w:hAnsi="Palatino Linotype"/>
        </w:rPr>
        <w:t>revealing</w:t>
      </w:r>
      <w:r w:rsidR="003C6958" w:rsidRPr="00BD6929">
        <w:rPr>
          <w:rFonts w:ascii="Palatino Linotype" w:hAnsi="Palatino Linotype"/>
        </w:rPr>
        <w:t xml:space="preserve"> a 6-fold average induction of </w:t>
      </w:r>
      <w:r w:rsidR="00F84B8C" w:rsidRPr="00F84B8C">
        <w:rPr>
          <w:rFonts w:ascii="Palatino Linotype" w:hAnsi="Palatino Linotype"/>
          <w:i/>
        </w:rPr>
        <w:t>Alu</w:t>
      </w:r>
      <w:r w:rsidR="003C6958" w:rsidRPr="00BD6929">
        <w:rPr>
          <w:rFonts w:ascii="Palatino Linotype" w:hAnsi="Palatino Linotype"/>
        </w:rPr>
        <w:t xml:space="preserve"> elements compared to mock infected cells. </w:t>
      </w:r>
      <w:r>
        <w:rPr>
          <w:rFonts w:ascii="Palatino Linotype" w:hAnsi="Palatino Linotype"/>
        </w:rPr>
        <w:t>Further, t</w:t>
      </w:r>
      <w:r w:rsidR="003D2CD9" w:rsidRPr="00BD6929">
        <w:rPr>
          <w:rFonts w:ascii="Palatino Linotype" w:hAnsi="Palatino Linotype"/>
        </w:rPr>
        <w:t>h</w:t>
      </w:r>
      <w:r w:rsidR="003C6958" w:rsidRPr="00BD6929">
        <w:rPr>
          <w:rFonts w:ascii="Palatino Linotype" w:hAnsi="Palatino Linotype"/>
        </w:rPr>
        <w:t xml:space="preserve">e expression of </w:t>
      </w:r>
      <w:proofErr w:type="spellStart"/>
      <w:r w:rsidR="00F84B8C" w:rsidRPr="00F84B8C">
        <w:rPr>
          <w:rFonts w:ascii="Palatino Linotype" w:hAnsi="Palatino Linotype"/>
          <w:i/>
        </w:rPr>
        <w:t>Alu</w:t>
      </w:r>
      <w:r w:rsidR="003C6958" w:rsidRPr="00F84B8C">
        <w:rPr>
          <w:rFonts w:ascii="Palatino Linotype" w:hAnsi="Palatino Linotype"/>
          <w:i/>
        </w:rPr>
        <w:t>Sp</w:t>
      </w:r>
      <w:proofErr w:type="spellEnd"/>
      <w:r w:rsidR="003C6958" w:rsidRPr="00BD6929">
        <w:rPr>
          <w:rFonts w:ascii="Palatino Linotype" w:hAnsi="Palatino Linotype"/>
        </w:rPr>
        <w:t xml:space="preserve"> sequence</w:t>
      </w:r>
      <w:r w:rsidR="003D2CD9" w:rsidRPr="00BD6929">
        <w:rPr>
          <w:rFonts w:ascii="Palatino Linotype" w:hAnsi="Palatino Linotype"/>
        </w:rPr>
        <w:t xml:space="preserve"> was analyzed in cells infected with e1a mutants that are not capable to bind </w:t>
      </w:r>
      <w:r w:rsidR="003C6958" w:rsidRPr="00BD6929">
        <w:rPr>
          <w:rFonts w:ascii="Palatino Linotype" w:hAnsi="Palatino Linotype"/>
        </w:rPr>
        <w:t xml:space="preserve">Rb, p300 </w:t>
      </w:r>
      <w:r w:rsidR="003D2CD9" w:rsidRPr="00BD6929">
        <w:rPr>
          <w:rFonts w:ascii="Palatino Linotype" w:hAnsi="Palatino Linotype"/>
        </w:rPr>
        <w:t>or</w:t>
      </w:r>
      <w:r w:rsidR="003C6958" w:rsidRPr="00BD6929">
        <w:rPr>
          <w:rFonts w:ascii="Palatino Linotype" w:hAnsi="Palatino Linotype"/>
        </w:rPr>
        <w:t xml:space="preserve"> p400</w:t>
      </w:r>
      <w:r w:rsidR="00F84B8C">
        <w:rPr>
          <w:rFonts w:ascii="Palatino Linotype" w:hAnsi="Palatino Linotype"/>
        </w:rPr>
        <w:t xml:space="preserve">: </w:t>
      </w:r>
      <w:r w:rsidR="0044427C">
        <w:rPr>
          <w:rFonts w:ascii="Palatino Linotype" w:hAnsi="Palatino Linotype"/>
        </w:rPr>
        <w:t>f</w:t>
      </w:r>
      <w:r w:rsidR="003D2CD9" w:rsidRPr="00BD6929">
        <w:rPr>
          <w:rFonts w:ascii="Palatino Linotype" w:hAnsi="Palatino Linotype"/>
        </w:rPr>
        <w:t>rom RT-qPCR data we could verify that e1a</w:t>
      </w:r>
      <w:r w:rsidR="0044427C">
        <w:rPr>
          <w:rFonts w:ascii="Palatino Linotype" w:hAnsi="Palatino Linotype"/>
        </w:rPr>
        <w:t>-</w:t>
      </w:r>
      <w:r w:rsidR="003D2CD9" w:rsidRPr="00BD6929">
        <w:rPr>
          <w:rFonts w:ascii="Palatino Linotype" w:hAnsi="Palatino Linotype"/>
        </w:rPr>
        <w:t xml:space="preserve">p400 binding mutant is the least effective in increasing </w:t>
      </w:r>
      <w:proofErr w:type="spellStart"/>
      <w:r w:rsidR="00F84B8C" w:rsidRPr="00F84B8C">
        <w:rPr>
          <w:rFonts w:ascii="Palatino Linotype" w:hAnsi="Palatino Linotype"/>
          <w:i/>
        </w:rPr>
        <w:t>Alu</w:t>
      </w:r>
      <w:r w:rsidR="0044427C" w:rsidRPr="00F84B8C">
        <w:rPr>
          <w:rFonts w:ascii="Palatino Linotype" w:hAnsi="Palatino Linotype"/>
          <w:i/>
        </w:rPr>
        <w:t>Sp</w:t>
      </w:r>
      <w:proofErr w:type="spellEnd"/>
      <w:r w:rsidR="003D2CD9" w:rsidRPr="00BD6929">
        <w:rPr>
          <w:rFonts w:ascii="Palatino Linotype" w:hAnsi="Palatino Linotype"/>
        </w:rPr>
        <w:t xml:space="preserve"> expression.</w:t>
      </w:r>
    </w:p>
    <w:p w:rsidR="00B32498" w:rsidRPr="00BD6929" w:rsidRDefault="0044427C" w:rsidP="002D12E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 the meanwhile,</w:t>
      </w:r>
      <w:r w:rsidR="003C6958" w:rsidRPr="00BD6929">
        <w:rPr>
          <w:rFonts w:ascii="Palatino Linotype" w:hAnsi="Palatino Linotype"/>
        </w:rPr>
        <w:t xml:space="preserve"> </w:t>
      </w:r>
      <w:r w:rsidR="00030DB7" w:rsidRPr="00BD6929">
        <w:rPr>
          <w:rFonts w:ascii="Palatino Linotype" w:hAnsi="Palatino Linotype"/>
        </w:rPr>
        <w:t xml:space="preserve">possible new roles of </w:t>
      </w:r>
      <w:r w:rsidR="00F84B8C" w:rsidRPr="00F84B8C">
        <w:rPr>
          <w:rFonts w:ascii="Palatino Linotype" w:hAnsi="Palatino Linotype"/>
          <w:i/>
        </w:rPr>
        <w:t>Alu</w:t>
      </w:r>
      <w:r w:rsidR="00030DB7" w:rsidRPr="00BD6929">
        <w:rPr>
          <w:rFonts w:ascii="Palatino Linotype" w:hAnsi="Palatino Linotype"/>
        </w:rPr>
        <w:t xml:space="preserve"> RNAs were analyzed in fibroblasts </w:t>
      </w:r>
      <w:r>
        <w:rPr>
          <w:rFonts w:ascii="Palatino Linotype" w:hAnsi="Palatino Linotype"/>
        </w:rPr>
        <w:t xml:space="preserve">and HeLa cells that stably </w:t>
      </w:r>
      <w:r w:rsidR="00030DB7" w:rsidRPr="00BD6929">
        <w:rPr>
          <w:rFonts w:ascii="Palatino Linotype" w:hAnsi="Palatino Linotype"/>
        </w:rPr>
        <w:t xml:space="preserve">overexpress the sequences </w:t>
      </w:r>
      <w:r w:rsidR="00F84B8C" w:rsidRPr="00F84B8C">
        <w:rPr>
          <w:rFonts w:ascii="Palatino Linotype" w:hAnsi="Palatino Linotype"/>
          <w:i/>
        </w:rPr>
        <w:t>Alu</w:t>
      </w:r>
      <w:r w:rsidR="00030DB7" w:rsidRPr="00F84B8C">
        <w:rPr>
          <w:rFonts w:ascii="Palatino Linotype" w:hAnsi="Palatino Linotype"/>
          <w:i/>
        </w:rPr>
        <w:t>Sq2</w:t>
      </w:r>
      <w:r w:rsidR="00030DB7" w:rsidRPr="00BD6929">
        <w:rPr>
          <w:rFonts w:ascii="Palatino Linotype" w:hAnsi="Palatino Linotype"/>
        </w:rPr>
        <w:t xml:space="preserve"> or </w:t>
      </w:r>
      <w:proofErr w:type="spellStart"/>
      <w:r w:rsidR="00F84B8C" w:rsidRPr="00F84B8C">
        <w:rPr>
          <w:rFonts w:ascii="Palatino Linotype" w:hAnsi="Palatino Linotype"/>
          <w:i/>
        </w:rPr>
        <w:t>Alu</w:t>
      </w:r>
      <w:r w:rsidR="00030DB7" w:rsidRPr="00F84B8C">
        <w:rPr>
          <w:rFonts w:ascii="Palatino Linotype" w:hAnsi="Palatino Linotype"/>
          <w:i/>
        </w:rPr>
        <w:t>Sx</w:t>
      </w:r>
      <w:proofErr w:type="spellEnd"/>
      <w:r w:rsidR="00030DB7" w:rsidRPr="00BD6929">
        <w:rPr>
          <w:rFonts w:ascii="Palatino Linotype" w:hAnsi="Palatino Linotype"/>
        </w:rPr>
        <w:t>. Stable cell lines were generated through lentiviral infection</w:t>
      </w:r>
      <w:r>
        <w:rPr>
          <w:rFonts w:ascii="Palatino Linotype" w:hAnsi="Palatino Linotype"/>
        </w:rPr>
        <w:t>,</w:t>
      </w:r>
      <w:r w:rsidR="00030DB7" w:rsidRPr="00BD692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and gene expression was analyzed through RNA-sequencing.</w:t>
      </w:r>
      <w:r w:rsidR="00030DB7" w:rsidRPr="00BD692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The upregulation of genes belonging to </w:t>
      </w:r>
      <w:r w:rsidR="003C6958" w:rsidRPr="00BD6929">
        <w:rPr>
          <w:rFonts w:ascii="Palatino Linotype" w:hAnsi="Palatino Linotype"/>
        </w:rPr>
        <w:t>cell cycle pathwa</w:t>
      </w:r>
      <w:r w:rsidR="00030DB7" w:rsidRPr="00BD6929">
        <w:rPr>
          <w:rFonts w:ascii="Palatino Linotype" w:hAnsi="Palatino Linotype"/>
        </w:rPr>
        <w:t xml:space="preserve">ys </w:t>
      </w:r>
      <w:r>
        <w:rPr>
          <w:rFonts w:ascii="Palatino Linotype" w:hAnsi="Palatino Linotype"/>
        </w:rPr>
        <w:t>could be detected in</w:t>
      </w:r>
      <w:r w:rsidR="00030DB7" w:rsidRPr="00BD6929">
        <w:rPr>
          <w:rFonts w:ascii="Palatino Linotype" w:hAnsi="Palatino Linotype"/>
        </w:rPr>
        <w:t xml:space="preserve"> human fibroblasts</w:t>
      </w:r>
      <w:r>
        <w:rPr>
          <w:rFonts w:ascii="Palatino Linotype" w:hAnsi="Palatino Linotype"/>
        </w:rPr>
        <w:t>, while n</w:t>
      </w:r>
      <w:r w:rsidR="00B32498" w:rsidRPr="00BD6929">
        <w:rPr>
          <w:rFonts w:ascii="Palatino Linotype" w:hAnsi="Palatino Linotype"/>
        </w:rPr>
        <w:t xml:space="preserve">o effect </w:t>
      </w:r>
      <w:r>
        <w:rPr>
          <w:rFonts w:ascii="Palatino Linotype" w:hAnsi="Palatino Linotype"/>
        </w:rPr>
        <w:t xml:space="preserve">was observed in </w:t>
      </w:r>
      <w:r w:rsidR="00B32498" w:rsidRPr="00BD6929">
        <w:rPr>
          <w:rFonts w:ascii="Palatino Linotype" w:hAnsi="Palatino Linotype"/>
        </w:rPr>
        <w:t xml:space="preserve">HeLa cells. </w:t>
      </w:r>
    </w:p>
    <w:p w:rsidR="0044427C" w:rsidRPr="00BD6929" w:rsidRDefault="0044427C" w:rsidP="002D12E6">
      <w:pPr>
        <w:jc w:val="both"/>
        <w:rPr>
          <w:rFonts w:ascii="Palatino Linotype" w:hAnsi="Palatino Linotype"/>
        </w:rPr>
      </w:pPr>
    </w:p>
    <w:p w:rsidR="00DA3B1F" w:rsidRDefault="004858DF" w:rsidP="002D12E6">
      <w:pPr>
        <w:jc w:val="both"/>
        <w:rPr>
          <w:rFonts w:ascii="Palatino Linotype" w:hAnsi="Palatino Linotype"/>
        </w:rPr>
      </w:pPr>
      <w:r w:rsidRPr="00BD6929">
        <w:rPr>
          <w:rFonts w:ascii="Palatino Linotype" w:hAnsi="Palatino Linotype"/>
          <w:b/>
          <w:lang w:val="en-GB"/>
        </w:rPr>
        <w:t>Results</w:t>
      </w:r>
      <w:r w:rsidR="00DA3B1F" w:rsidRPr="00DA3B1F">
        <w:rPr>
          <w:rFonts w:ascii="Palatino Linotype" w:hAnsi="Palatino Linotype"/>
        </w:rPr>
        <w:t xml:space="preserve"> </w:t>
      </w:r>
    </w:p>
    <w:p w:rsidR="00866B50" w:rsidRPr="00BD6929" w:rsidRDefault="00DA3B1F" w:rsidP="002D12E6">
      <w:pPr>
        <w:jc w:val="both"/>
        <w:rPr>
          <w:rFonts w:ascii="Palatino Linotype" w:hAnsi="Palatino Linotype"/>
          <w:b/>
          <w:lang w:val="en-GB"/>
        </w:rPr>
      </w:pPr>
      <w:r w:rsidRPr="00BD6929">
        <w:rPr>
          <w:rFonts w:ascii="Palatino Linotype" w:hAnsi="Palatino Linotype"/>
        </w:rPr>
        <w:t xml:space="preserve">The last year of my PhD </w:t>
      </w:r>
      <w:r>
        <w:rPr>
          <w:rFonts w:ascii="Palatino Linotype" w:hAnsi="Palatino Linotype"/>
        </w:rPr>
        <w:t xml:space="preserve">focuses </w:t>
      </w:r>
      <w:r w:rsidRPr="00BD6929">
        <w:rPr>
          <w:rFonts w:ascii="Palatino Linotype" w:hAnsi="Palatino Linotype"/>
        </w:rPr>
        <w:t xml:space="preserve">on a deeper analysis </w:t>
      </w:r>
      <w:r>
        <w:rPr>
          <w:rFonts w:ascii="Palatino Linotype" w:hAnsi="Palatino Linotype"/>
        </w:rPr>
        <w:t xml:space="preserve">of </w:t>
      </w:r>
      <w:r w:rsidR="00F84B8C" w:rsidRPr="00F84B8C">
        <w:rPr>
          <w:rFonts w:ascii="Palatino Linotype" w:hAnsi="Palatino Linotype"/>
          <w:i/>
        </w:rPr>
        <w:t>Alu</w:t>
      </w:r>
      <w:r>
        <w:rPr>
          <w:rFonts w:ascii="Palatino Linotype" w:hAnsi="Palatino Linotype"/>
        </w:rPr>
        <w:t xml:space="preserve"> expression profile</w:t>
      </w:r>
      <w:r w:rsidR="00F84B8C">
        <w:rPr>
          <w:rFonts w:ascii="Palatino Linotype" w:hAnsi="Palatino Linotype"/>
        </w:rPr>
        <w:t xml:space="preserve"> data</w:t>
      </w:r>
      <w:r>
        <w:rPr>
          <w:rFonts w:ascii="Palatino Linotype" w:hAnsi="Palatino Linotype"/>
        </w:rPr>
        <w:t xml:space="preserve"> </w:t>
      </w:r>
      <w:r w:rsidRPr="00BD6929">
        <w:rPr>
          <w:rFonts w:ascii="Palatino Linotype" w:hAnsi="Palatino Linotype"/>
        </w:rPr>
        <w:t xml:space="preserve">and on the experimental </w:t>
      </w:r>
      <w:r>
        <w:rPr>
          <w:rFonts w:ascii="Palatino Linotype" w:hAnsi="Palatino Linotype"/>
        </w:rPr>
        <w:t>validation</w:t>
      </w:r>
      <w:r w:rsidRPr="00BD6929">
        <w:rPr>
          <w:rFonts w:ascii="Palatino Linotype" w:hAnsi="Palatino Linotype"/>
        </w:rPr>
        <w:t xml:space="preserve"> of </w:t>
      </w:r>
      <w:r>
        <w:rPr>
          <w:rFonts w:ascii="Palatino Linotype" w:hAnsi="Palatino Linotype"/>
        </w:rPr>
        <w:t>transcriptome analysis</w:t>
      </w:r>
      <w:r w:rsidRPr="00BD6929">
        <w:rPr>
          <w:rFonts w:ascii="Palatino Linotype" w:hAnsi="Palatino Linotype"/>
        </w:rPr>
        <w:t xml:space="preserve"> o</w:t>
      </w:r>
      <w:r w:rsidR="00F84B8C">
        <w:rPr>
          <w:rFonts w:ascii="Palatino Linotype" w:hAnsi="Palatino Linotype"/>
        </w:rPr>
        <w:t>f</w:t>
      </w:r>
      <w:r w:rsidRPr="00BD6929">
        <w:rPr>
          <w:rFonts w:ascii="Palatino Linotype" w:hAnsi="Palatino Linotype"/>
        </w:rPr>
        <w:t xml:space="preserve"> fibroblasts overexpressing </w:t>
      </w:r>
      <w:r w:rsidR="00F84B8C" w:rsidRPr="00F84B8C">
        <w:rPr>
          <w:rFonts w:ascii="Palatino Linotype" w:hAnsi="Palatino Linotype"/>
          <w:i/>
        </w:rPr>
        <w:t>Alu</w:t>
      </w:r>
      <w:r w:rsidRPr="00F84B8C">
        <w:rPr>
          <w:rFonts w:ascii="Palatino Linotype" w:hAnsi="Palatino Linotype"/>
          <w:i/>
        </w:rPr>
        <w:t>Sq2</w:t>
      </w:r>
      <w:r w:rsidRPr="00BD6929">
        <w:rPr>
          <w:rFonts w:ascii="Palatino Linotype" w:hAnsi="Palatino Linotype"/>
        </w:rPr>
        <w:t xml:space="preserve"> or </w:t>
      </w:r>
      <w:proofErr w:type="spellStart"/>
      <w:r w:rsidR="00F84B8C" w:rsidRPr="00F84B8C">
        <w:rPr>
          <w:rFonts w:ascii="Palatino Linotype" w:hAnsi="Palatino Linotype"/>
          <w:i/>
        </w:rPr>
        <w:t>Alu</w:t>
      </w:r>
      <w:r w:rsidRPr="00F84B8C">
        <w:rPr>
          <w:rFonts w:ascii="Palatino Linotype" w:hAnsi="Palatino Linotype"/>
          <w:i/>
        </w:rPr>
        <w:t>Sx</w:t>
      </w:r>
      <w:proofErr w:type="spellEnd"/>
      <w:r w:rsidRPr="00BD6929">
        <w:rPr>
          <w:rFonts w:ascii="Palatino Linotype" w:hAnsi="Palatino Linotype"/>
        </w:rPr>
        <w:t>.</w:t>
      </w:r>
    </w:p>
    <w:p w:rsidR="00B32498" w:rsidRPr="00BD6929" w:rsidRDefault="00F84B8C" w:rsidP="002D12E6">
      <w:pPr>
        <w:jc w:val="both"/>
        <w:rPr>
          <w:rFonts w:ascii="Palatino Linotype" w:hAnsi="Palatino Linotype"/>
          <w:lang w:val="en-GB"/>
        </w:rPr>
      </w:pPr>
      <w:r w:rsidRPr="00F84B8C">
        <w:rPr>
          <w:rFonts w:ascii="Palatino Linotype" w:hAnsi="Palatino Linotype"/>
          <w:i/>
          <w:lang w:val="en-GB"/>
        </w:rPr>
        <w:t>Alu</w:t>
      </w:r>
      <w:r w:rsidR="00DA3B1F">
        <w:rPr>
          <w:rFonts w:ascii="Palatino Linotype" w:hAnsi="Palatino Linotype"/>
          <w:lang w:val="en-GB"/>
        </w:rPr>
        <w:t xml:space="preserve"> transcriptome data analysis </w:t>
      </w:r>
      <w:r w:rsidR="0097596B">
        <w:rPr>
          <w:rFonts w:ascii="Palatino Linotype" w:hAnsi="Palatino Linotype"/>
          <w:lang w:val="en-GB"/>
        </w:rPr>
        <w:t>revealed the expression of</w:t>
      </w:r>
      <w:r w:rsidR="00DA3B1F">
        <w:rPr>
          <w:rFonts w:ascii="Palatino Linotype" w:hAnsi="Palatino Linotype"/>
          <w:lang w:val="en-GB"/>
        </w:rPr>
        <w:t xml:space="preserve"> 1265</w:t>
      </w:r>
      <w:r w:rsidR="0097596B">
        <w:rPr>
          <w:rFonts w:ascii="Palatino Linotype" w:hAnsi="Palatino Linotype"/>
          <w:lang w:val="en-GB"/>
        </w:rPr>
        <w:t xml:space="preserve"> </w:t>
      </w:r>
      <w:r w:rsidRPr="00F84B8C">
        <w:rPr>
          <w:rFonts w:ascii="Palatino Linotype" w:hAnsi="Palatino Linotype"/>
          <w:i/>
          <w:lang w:val="en-GB"/>
        </w:rPr>
        <w:t>Alu</w:t>
      </w:r>
      <w:r w:rsidR="0097596B">
        <w:rPr>
          <w:rFonts w:ascii="Palatino Linotype" w:hAnsi="Palatino Linotype"/>
          <w:lang w:val="en-GB"/>
        </w:rPr>
        <w:t xml:space="preserve"> sequences</w:t>
      </w:r>
      <w:r w:rsidR="00DA3B1F">
        <w:rPr>
          <w:rFonts w:ascii="Palatino Linotype" w:hAnsi="Palatino Linotype"/>
          <w:lang w:val="en-GB"/>
        </w:rPr>
        <w:t xml:space="preserve"> </w:t>
      </w:r>
      <w:r w:rsidR="0097596B">
        <w:rPr>
          <w:rFonts w:ascii="Palatino Linotype" w:hAnsi="Palatino Linotype"/>
          <w:lang w:val="en-GB"/>
        </w:rPr>
        <w:t>in</w:t>
      </w:r>
      <w:r w:rsidR="00DA3B1F">
        <w:rPr>
          <w:rFonts w:ascii="Palatino Linotype" w:hAnsi="Palatino Linotype"/>
          <w:lang w:val="en-GB"/>
        </w:rPr>
        <w:t xml:space="preserve"> e1a and mock infected cells (overexpressed </w:t>
      </w:r>
      <w:r w:rsidRPr="00F84B8C">
        <w:rPr>
          <w:rFonts w:ascii="Palatino Linotype" w:hAnsi="Palatino Linotype"/>
          <w:i/>
          <w:lang w:val="en-GB"/>
        </w:rPr>
        <w:t>Alu</w:t>
      </w:r>
      <w:r w:rsidR="00DA3B1F">
        <w:rPr>
          <w:rFonts w:ascii="Palatino Linotype" w:hAnsi="Palatino Linotype"/>
          <w:lang w:val="en-GB"/>
        </w:rPr>
        <w:t xml:space="preserve">s), while 778 sequences were detected in e1a cells </w:t>
      </w:r>
      <w:r w:rsidR="005B2E08">
        <w:rPr>
          <w:rFonts w:ascii="Palatino Linotype" w:hAnsi="Palatino Linotype"/>
          <w:lang w:val="en-GB"/>
        </w:rPr>
        <w:t>but</w:t>
      </w:r>
      <w:r w:rsidR="00DA3B1F">
        <w:rPr>
          <w:rFonts w:ascii="Palatino Linotype" w:hAnsi="Palatino Linotype"/>
          <w:lang w:val="en-GB"/>
        </w:rPr>
        <w:t xml:space="preserve"> not in mock sample</w:t>
      </w:r>
      <w:r w:rsidR="005B2E08">
        <w:rPr>
          <w:rFonts w:ascii="Palatino Linotype" w:hAnsi="Palatino Linotype"/>
          <w:lang w:val="en-GB"/>
        </w:rPr>
        <w:t>s</w:t>
      </w:r>
      <w:r w:rsidR="00DA3B1F">
        <w:rPr>
          <w:rFonts w:ascii="Palatino Linotype" w:hAnsi="Palatino Linotype"/>
          <w:lang w:val="en-GB"/>
        </w:rPr>
        <w:t xml:space="preserve"> (</w:t>
      </w:r>
      <w:r w:rsidR="0097596B">
        <w:rPr>
          <w:rFonts w:ascii="Palatino Linotype" w:hAnsi="Palatino Linotype"/>
          <w:lang w:val="en-GB"/>
        </w:rPr>
        <w:t>activated</w:t>
      </w:r>
      <w:r w:rsidR="00DA3B1F">
        <w:rPr>
          <w:rFonts w:ascii="Palatino Linotype" w:hAnsi="Palatino Linotype"/>
          <w:lang w:val="en-GB"/>
        </w:rPr>
        <w:t xml:space="preserve"> </w:t>
      </w:r>
      <w:r w:rsidRPr="00F84B8C">
        <w:rPr>
          <w:rFonts w:ascii="Palatino Linotype" w:hAnsi="Palatino Linotype"/>
          <w:i/>
          <w:lang w:val="en-GB"/>
        </w:rPr>
        <w:t>Alu</w:t>
      </w:r>
      <w:r w:rsidR="00DA3B1F">
        <w:rPr>
          <w:rFonts w:ascii="Palatino Linotype" w:hAnsi="Palatino Linotype"/>
          <w:lang w:val="en-GB"/>
        </w:rPr>
        <w:t>s).</w:t>
      </w:r>
      <w:r w:rsidR="00342147">
        <w:rPr>
          <w:rFonts w:ascii="Palatino Linotype" w:hAnsi="Palatino Linotype"/>
          <w:lang w:val="en-GB"/>
        </w:rPr>
        <w:t xml:space="preserve"> Interestingly, </w:t>
      </w:r>
      <w:r w:rsidR="005B2E08">
        <w:rPr>
          <w:rFonts w:ascii="Palatino Linotype" w:hAnsi="Palatino Linotype"/>
          <w:lang w:val="en-GB"/>
        </w:rPr>
        <w:t xml:space="preserve">the </w:t>
      </w:r>
      <w:r w:rsidR="0097596B">
        <w:rPr>
          <w:rFonts w:ascii="Palatino Linotype" w:hAnsi="Palatino Linotype"/>
          <w:lang w:val="en-GB"/>
        </w:rPr>
        <w:t>overexpressed</w:t>
      </w:r>
      <w:r w:rsidR="00342147">
        <w:rPr>
          <w:rFonts w:ascii="Palatino Linotype" w:hAnsi="Palatino Linotype"/>
          <w:lang w:val="en-GB"/>
        </w:rPr>
        <w:t xml:space="preserve"> </w:t>
      </w:r>
      <w:r w:rsidRPr="00F84B8C">
        <w:rPr>
          <w:rFonts w:ascii="Palatino Linotype" w:hAnsi="Palatino Linotype"/>
          <w:i/>
          <w:lang w:val="en-GB"/>
        </w:rPr>
        <w:t>Alu</w:t>
      </w:r>
      <w:r w:rsidR="0097596B">
        <w:rPr>
          <w:rFonts w:ascii="Palatino Linotype" w:hAnsi="Palatino Linotype"/>
          <w:lang w:val="en-GB"/>
        </w:rPr>
        <w:t>s</w:t>
      </w:r>
      <w:r w:rsidR="00342147">
        <w:rPr>
          <w:rFonts w:ascii="Palatino Linotype" w:hAnsi="Palatino Linotype"/>
          <w:lang w:val="en-GB"/>
        </w:rPr>
        <w:t xml:space="preserve"> show</w:t>
      </w:r>
      <w:r w:rsidR="0097596B">
        <w:rPr>
          <w:rFonts w:ascii="Palatino Linotype" w:hAnsi="Palatino Linotype"/>
          <w:lang w:val="en-GB"/>
        </w:rPr>
        <w:t>ed</w:t>
      </w:r>
      <w:r w:rsidR="00342147">
        <w:rPr>
          <w:rFonts w:ascii="Palatino Linotype" w:hAnsi="Palatino Linotype"/>
          <w:lang w:val="en-GB"/>
        </w:rPr>
        <w:t xml:space="preserve"> a higher</w:t>
      </w:r>
      <w:r w:rsidR="0097596B">
        <w:rPr>
          <w:rFonts w:ascii="Palatino Linotype" w:hAnsi="Palatino Linotype"/>
          <w:lang w:val="en-GB"/>
        </w:rPr>
        <w:t xml:space="preserve"> </w:t>
      </w:r>
      <w:r w:rsidR="009A1AB2">
        <w:rPr>
          <w:rFonts w:ascii="Palatino Linotype" w:hAnsi="Palatino Linotype"/>
          <w:lang w:val="en-GB"/>
        </w:rPr>
        <w:t>read counts v</w:t>
      </w:r>
      <w:r w:rsidR="005B2E08" w:rsidRPr="005B2E08">
        <w:rPr>
          <w:rFonts w:ascii="Palatino Linotype" w:hAnsi="Palatino Linotype"/>
          <w:lang w:val="en-GB"/>
        </w:rPr>
        <w:t>alu</w:t>
      </w:r>
      <w:r w:rsidR="009A1AB2">
        <w:rPr>
          <w:rFonts w:ascii="Palatino Linotype" w:hAnsi="Palatino Linotype"/>
          <w:lang w:val="en-GB"/>
        </w:rPr>
        <w:t>e</w:t>
      </w:r>
      <w:r w:rsidR="0097596B">
        <w:rPr>
          <w:rFonts w:ascii="Palatino Linotype" w:hAnsi="Palatino Linotype"/>
          <w:lang w:val="en-GB"/>
        </w:rPr>
        <w:t xml:space="preserve"> </w:t>
      </w:r>
      <w:r w:rsidR="00342147">
        <w:rPr>
          <w:rFonts w:ascii="Palatino Linotype" w:hAnsi="Palatino Linotype"/>
          <w:lang w:val="en-GB"/>
        </w:rPr>
        <w:t xml:space="preserve">than </w:t>
      </w:r>
      <w:r w:rsidR="005B2E08">
        <w:rPr>
          <w:rFonts w:ascii="Palatino Linotype" w:hAnsi="Palatino Linotype"/>
          <w:lang w:val="en-GB"/>
        </w:rPr>
        <w:t xml:space="preserve">the activated </w:t>
      </w:r>
      <w:r w:rsidRPr="00F84B8C">
        <w:rPr>
          <w:rFonts w:ascii="Palatino Linotype" w:hAnsi="Palatino Linotype"/>
          <w:i/>
          <w:lang w:val="en-GB"/>
        </w:rPr>
        <w:t>Alu</w:t>
      </w:r>
      <w:r w:rsidR="00342147">
        <w:rPr>
          <w:rFonts w:ascii="Palatino Linotype" w:hAnsi="Palatino Linotype"/>
          <w:lang w:val="en-GB"/>
        </w:rPr>
        <w:t>s.</w:t>
      </w:r>
      <w:r w:rsidR="00B01240">
        <w:rPr>
          <w:rFonts w:ascii="Palatino Linotype" w:hAnsi="Palatino Linotype"/>
          <w:lang w:val="en-GB"/>
        </w:rPr>
        <w:t xml:space="preserve"> This suggests </w:t>
      </w:r>
      <w:r w:rsidR="00942524">
        <w:rPr>
          <w:rFonts w:ascii="Palatino Linotype" w:hAnsi="Palatino Linotype"/>
          <w:lang w:val="en-GB"/>
        </w:rPr>
        <w:t xml:space="preserve">that </w:t>
      </w:r>
      <w:r w:rsidR="00B01240">
        <w:rPr>
          <w:rFonts w:ascii="Palatino Linotype" w:hAnsi="Palatino Linotype"/>
          <w:lang w:val="en-GB"/>
        </w:rPr>
        <w:t>th</w:t>
      </w:r>
      <w:r w:rsidR="008D5767">
        <w:rPr>
          <w:rFonts w:ascii="Palatino Linotype" w:hAnsi="Palatino Linotype"/>
          <w:lang w:val="en-GB"/>
        </w:rPr>
        <w:t>ose</w:t>
      </w:r>
      <w:r w:rsidR="00342147">
        <w:rPr>
          <w:rFonts w:ascii="Palatino Linotype" w:hAnsi="Palatino Linotype"/>
          <w:lang w:val="en-GB"/>
        </w:rPr>
        <w:t xml:space="preserve"> </w:t>
      </w:r>
      <w:r w:rsidRPr="00F84B8C">
        <w:rPr>
          <w:rFonts w:ascii="Palatino Linotype" w:hAnsi="Palatino Linotype"/>
          <w:i/>
          <w:lang w:val="en-GB"/>
        </w:rPr>
        <w:t>Alu</w:t>
      </w:r>
      <w:r w:rsidR="00B01240">
        <w:rPr>
          <w:rFonts w:ascii="Palatino Linotype" w:hAnsi="Palatino Linotype"/>
          <w:lang w:val="en-GB"/>
        </w:rPr>
        <w:t xml:space="preserve"> sequences that are expressed at</w:t>
      </w:r>
      <w:r w:rsidR="00942524">
        <w:rPr>
          <w:rFonts w:ascii="Palatino Linotype" w:hAnsi="Palatino Linotype"/>
          <w:lang w:val="en-GB"/>
        </w:rPr>
        <w:t xml:space="preserve"> a</w:t>
      </w:r>
      <w:r w:rsidR="00B01240">
        <w:rPr>
          <w:rFonts w:ascii="Palatino Linotype" w:hAnsi="Palatino Linotype"/>
          <w:lang w:val="en-GB"/>
        </w:rPr>
        <w:t xml:space="preserve"> basal level in mock samples are </w:t>
      </w:r>
      <w:r w:rsidR="008D5767">
        <w:rPr>
          <w:rFonts w:ascii="Palatino Linotype" w:hAnsi="Palatino Linotype"/>
          <w:lang w:val="en-GB"/>
        </w:rPr>
        <w:t xml:space="preserve">also </w:t>
      </w:r>
      <w:r w:rsidR="00B01240">
        <w:rPr>
          <w:rFonts w:ascii="Palatino Linotype" w:hAnsi="Palatino Linotype"/>
          <w:lang w:val="en-GB"/>
        </w:rPr>
        <w:t xml:space="preserve">efficiently </w:t>
      </w:r>
      <w:r w:rsidR="00942524">
        <w:rPr>
          <w:rFonts w:ascii="Palatino Linotype" w:hAnsi="Palatino Linotype"/>
          <w:lang w:val="en-GB"/>
        </w:rPr>
        <w:t xml:space="preserve">expressed </w:t>
      </w:r>
      <w:r w:rsidR="00B01240">
        <w:rPr>
          <w:rFonts w:ascii="Palatino Linotype" w:hAnsi="Palatino Linotype"/>
          <w:lang w:val="en-GB"/>
        </w:rPr>
        <w:t>in response to e1a infection.</w:t>
      </w:r>
    </w:p>
    <w:p w:rsidR="006D0FC5" w:rsidRDefault="008D5767" w:rsidP="008D5767">
      <w:pPr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In order to confirm the hypothesized mechanism of e1a-p400 involvement in the activation of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>
        <w:rPr>
          <w:rFonts w:ascii="Palatino Linotype" w:hAnsi="Palatino Linotype"/>
          <w:lang w:val="en-GB"/>
        </w:rPr>
        <w:t xml:space="preserve"> sequences, </w:t>
      </w:r>
      <w:r w:rsidR="00942524">
        <w:rPr>
          <w:rFonts w:ascii="Palatino Linotype" w:hAnsi="Palatino Linotype"/>
          <w:lang w:val="en-GB"/>
        </w:rPr>
        <w:t xml:space="preserve">the expression of the </w:t>
      </w:r>
      <w:r w:rsidR="005B2E08">
        <w:rPr>
          <w:rFonts w:ascii="Palatino Linotype" w:hAnsi="Palatino Linotype"/>
          <w:lang w:val="en-GB"/>
        </w:rPr>
        <w:t>not yet investigated</w:t>
      </w:r>
      <w:r w:rsidR="00942524">
        <w:rPr>
          <w:rFonts w:ascii="Palatino Linotype" w:hAnsi="Palatino Linotype"/>
          <w:lang w:val="en-GB"/>
        </w:rPr>
        <w:t xml:space="preserve"> element </w:t>
      </w:r>
      <w:proofErr w:type="spellStart"/>
      <w:r w:rsidR="00F84B8C" w:rsidRPr="00F84B8C">
        <w:rPr>
          <w:rFonts w:ascii="Palatino Linotype" w:hAnsi="Palatino Linotype"/>
          <w:i/>
          <w:lang w:val="en-GB"/>
        </w:rPr>
        <w:t>Alu</w:t>
      </w:r>
      <w:r w:rsidR="00942524" w:rsidRPr="005B2E08">
        <w:rPr>
          <w:rFonts w:ascii="Palatino Linotype" w:hAnsi="Palatino Linotype"/>
          <w:i/>
          <w:lang w:val="en-GB"/>
        </w:rPr>
        <w:t>Sc</w:t>
      </w:r>
      <w:proofErr w:type="spellEnd"/>
      <w:r w:rsidR="00942524">
        <w:rPr>
          <w:rFonts w:ascii="Palatino Linotype" w:hAnsi="Palatino Linotype"/>
          <w:lang w:val="en-GB"/>
        </w:rPr>
        <w:t xml:space="preserve"> </w:t>
      </w:r>
      <w:r w:rsidR="006D0FC5">
        <w:rPr>
          <w:rFonts w:ascii="Palatino Linotype" w:hAnsi="Palatino Linotype"/>
          <w:lang w:val="en-GB"/>
        </w:rPr>
        <w:lastRenderedPageBreak/>
        <w:t xml:space="preserve">was analysed in </w:t>
      </w:r>
      <w:r>
        <w:rPr>
          <w:rFonts w:ascii="Palatino Linotype" w:hAnsi="Palatino Linotype"/>
          <w:lang w:val="en-GB"/>
        </w:rPr>
        <w:t>cells infected with</w:t>
      </w:r>
      <w:r w:rsidRPr="00BD6929">
        <w:rPr>
          <w:rFonts w:ascii="Palatino Linotype" w:hAnsi="Palatino Linotype"/>
          <w:lang w:val="en-GB"/>
        </w:rPr>
        <w:t xml:space="preserve"> e1a mutants</w:t>
      </w:r>
      <w:r>
        <w:rPr>
          <w:rFonts w:ascii="Palatino Linotype" w:hAnsi="Palatino Linotype"/>
          <w:lang w:val="en-GB"/>
        </w:rPr>
        <w:t xml:space="preserve"> that are not capable to bind </w:t>
      </w:r>
      <w:r w:rsidR="006D0FC5">
        <w:rPr>
          <w:rFonts w:ascii="Palatino Linotype" w:hAnsi="Palatino Linotype"/>
          <w:lang w:val="en-GB"/>
        </w:rPr>
        <w:t>Rb, p300 or p400</w:t>
      </w:r>
      <w:r w:rsidR="00942524">
        <w:rPr>
          <w:rFonts w:ascii="Palatino Linotype" w:hAnsi="Palatino Linotype"/>
          <w:lang w:val="en-GB"/>
        </w:rPr>
        <w:t>. RT-qPCR</w:t>
      </w:r>
      <w:r w:rsidR="006D0FC5">
        <w:rPr>
          <w:rFonts w:ascii="Palatino Linotype" w:hAnsi="Palatino Linotype"/>
          <w:lang w:val="en-GB"/>
        </w:rPr>
        <w:t xml:space="preserve"> </w:t>
      </w:r>
      <w:r w:rsidR="00942524">
        <w:rPr>
          <w:rFonts w:ascii="Palatino Linotype" w:hAnsi="Palatino Linotype"/>
          <w:lang w:val="en-GB"/>
        </w:rPr>
        <w:t>data confirmed</w:t>
      </w:r>
      <w:r w:rsidRPr="00BD6929">
        <w:rPr>
          <w:rFonts w:ascii="Palatino Linotype" w:hAnsi="Palatino Linotype"/>
          <w:lang w:val="en-GB"/>
        </w:rPr>
        <w:t xml:space="preserve"> the trend towards a lower </w:t>
      </w:r>
      <w:r>
        <w:rPr>
          <w:rFonts w:ascii="Palatino Linotype" w:hAnsi="Palatino Linotype"/>
          <w:lang w:val="en-GB"/>
        </w:rPr>
        <w:t>expression</w:t>
      </w:r>
      <w:r w:rsidRPr="00BD6929">
        <w:rPr>
          <w:rFonts w:ascii="Palatino Linotype" w:hAnsi="Palatino Linotype"/>
          <w:lang w:val="en-GB"/>
        </w:rPr>
        <w:t xml:space="preserve"> of </w:t>
      </w:r>
      <w:proofErr w:type="spellStart"/>
      <w:r w:rsidR="00F84B8C" w:rsidRPr="00F84B8C">
        <w:rPr>
          <w:rFonts w:ascii="Palatino Linotype" w:hAnsi="Palatino Linotype"/>
          <w:i/>
          <w:lang w:val="en-GB"/>
        </w:rPr>
        <w:t>Alu</w:t>
      </w:r>
      <w:r w:rsidRPr="005B2E08">
        <w:rPr>
          <w:rFonts w:ascii="Palatino Linotype" w:hAnsi="Palatino Linotype"/>
          <w:i/>
          <w:lang w:val="en-GB"/>
        </w:rPr>
        <w:t>Sc</w:t>
      </w:r>
      <w:proofErr w:type="spellEnd"/>
      <w:r w:rsidRPr="00BD6929">
        <w:rPr>
          <w:rFonts w:ascii="Palatino Linotype" w:hAnsi="Palatino Linotype"/>
          <w:lang w:val="en-GB"/>
        </w:rPr>
        <w:t xml:space="preserve"> in </w:t>
      </w:r>
      <w:r w:rsidR="006D0FC5">
        <w:rPr>
          <w:rFonts w:ascii="Palatino Linotype" w:hAnsi="Palatino Linotype"/>
          <w:lang w:val="en-GB"/>
        </w:rPr>
        <w:t>e1a-</w:t>
      </w:r>
      <w:r w:rsidRPr="00BD6929">
        <w:rPr>
          <w:rFonts w:ascii="Palatino Linotype" w:hAnsi="Palatino Linotype"/>
          <w:lang w:val="en-GB"/>
        </w:rPr>
        <w:t xml:space="preserve">p400 </w:t>
      </w:r>
      <w:r w:rsidR="00942524">
        <w:rPr>
          <w:rFonts w:ascii="Palatino Linotype" w:hAnsi="Palatino Linotype"/>
          <w:lang w:val="en-GB"/>
        </w:rPr>
        <w:t>binding mutant.</w:t>
      </w:r>
      <w:r w:rsidR="006D0FC5">
        <w:rPr>
          <w:rFonts w:ascii="Palatino Linotype" w:hAnsi="Palatino Linotype"/>
          <w:lang w:val="en-GB"/>
        </w:rPr>
        <w:t xml:space="preserve"> </w:t>
      </w:r>
      <w:r w:rsidR="00942524">
        <w:rPr>
          <w:rFonts w:ascii="Palatino Linotype" w:hAnsi="Palatino Linotype"/>
          <w:lang w:val="en-GB"/>
        </w:rPr>
        <w:t xml:space="preserve">Next, we asked </w:t>
      </w:r>
      <w:r w:rsidR="009A1AB2">
        <w:rPr>
          <w:rFonts w:ascii="Palatino Linotype" w:hAnsi="Palatino Linotype"/>
          <w:lang w:val="en-GB"/>
        </w:rPr>
        <w:t>whether</w:t>
      </w:r>
      <w:r w:rsidR="00942524">
        <w:rPr>
          <w:rFonts w:ascii="Palatino Linotype" w:hAnsi="Palatino Linotype"/>
          <w:lang w:val="en-GB"/>
        </w:rPr>
        <w:t xml:space="preserve"> this effect is specific to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942524">
        <w:rPr>
          <w:rFonts w:ascii="Palatino Linotype" w:hAnsi="Palatino Linotype"/>
          <w:lang w:val="en-GB"/>
        </w:rPr>
        <w:t xml:space="preserve"> elements or </w:t>
      </w:r>
      <w:r w:rsidR="009A1AB2">
        <w:rPr>
          <w:rFonts w:ascii="Palatino Linotype" w:hAnsi="Palatino Linotype"/>
          <w:lang w:val="en-GB"/>
        </w:rPr>
        <w:t>generally</w:t>
      </w:r>
      <w:r w:rsidR="00942524">
        <w:rPr>
          <w:rFonts w:ascii="Palatino Linotype" w:hAnsi="Palatino Linotype"/>
          <w:lang w:val="en-GB"/>
        </w:rPr>
        <w:t xml:space="preserve"> involves RNA Polymerase III genes. Therefore</w:t>
      </w:r>
      <w:r w:rsidR="00D923B7">
        <w:rPr>
          <w:rFonts w:ascii="Palatino Linotype" w:hAnsi="Palatino Linotype"/>
          <w:lang w:val="en-GB"/>
        </w:rPr>
        <w:t>,</w:t>
      </w:r>
      <w:r w:rsidR="00942524">
        <w:rPr>
          <w:rFonts w:ascii="Palatino Linotype" w:hAnsi="Palatino Linotype"/>
          <w:lang w:val="en-GB"/>
        </w:rPr>
        <w:t xml:space="preserve"> we tested the expression of 7SL and U6 genes in wild type e1a and e1a-p400 binding mutant, observing no changes in gene expression. Th</w:t>
      </w:r>
      <w:r w:rsidR="00D923B7">
        <w:rPr>
          <w:rFonts w:ascii="Palatino Linotype" w:hAnsi="Palatino Linotype"/>
          <w:lang w:val="en-GB"/>
        </w:rPr>
        <w:t xml:space="preserve">is result was </w:t>
      </w:r>
      <w:r w:rsidR="00942524">
        <w:rPr>
          <w:rFonts w:ascii="Palatino Linotype" w:hAnsi="Palatino Linotype"/>
          <w:lang w:val="en-GB"/>
        </w:rPr>
        <w:t xml:space="preserve">also confirmed </w:t>
      </w:r>
      <w:r w:rsidR="009A1AB2">
        <w:rPr>
          <w:rFonts w:ascii="Palatino Linotype" w:hAnsi="Palatino Linotype"/>
          <w:lang w:val="en-GB"/>
        </w:rPr>
        <w:t>by</w:t>
      </w:r>
      <w:r w:rsidR="00942524">
        <w:rPr>
          <w:rFonts w:ascii="Palatino Linotype" w:hAnsi="Palatino Linotype"/>
          <w:lang w:val="en-GB"/>
        </w:rPr>
        <w:t xml:space="preserve"> RNA-seq </w:t>
      </w:r>
      <w:r w:rsidR="00D923B7">
        <w:rPr>
          <w:rFonts w:ascii="Palatino Linotype" w:hAnsi="Palatino Linotype"/>
          <w:lang w:val="en-GB"/>
        </w:rPr>
        <w:t>data analysis.</w:t>
      </w:r>
    </w:p>
    <w:p w:rsidR="00D923B7" w:rsidRDefault="009A1AB2" w:rsidP="008D5767">
      <w:pPr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RT-qPCR data should also be confirmed at a genome-wide </w:t>
      </w:r>
      <w:proofErr w:type="gramStart"/>
      <w:r>
        <w:rPr>
          <w:rFonts w:ascii="Palatino Linotype" w:hAnsi="Palatino Linotype"/>
          <w:lang w:val="en-GB"/>
        </w:rPr>
        <w:t>level,</w:t>
      </w:r>
      <w:proofErr w:type="gramEnd"/>
      <w:r>
        <w:rPr>
          <w:rFonts w:ascii="Palatino Linotype" w:hAnsi="Palatino Linotype"/>
          <w:lang w:val="en-GB"/>
        </w:rPr>
        <w:t xml:space="preserve"> therefore we asked the construction of total RNA-libraries of fibroblasts infected with e1a binding mutants</w:t>
      </w:r>
      <w:r w:rsidR="00D923B7">
        <w:rPr>
          <w:rFonts w:ascii="Palatino Linotype" w:hAnsi="Palatino Linotype"/>
          <w:lang w:val="en-GB"/>
        </w:rPr>
        <w:t xml:space="preserve">. </w:t>
      </w:r>
      <w:r>
        <w:rPr>
          <w:rFonts w:ascii="Palatino Linotype" w:hAnsi="Palatino Linotype"/>
          <w:lang w:val="en-GB"/>
        </w:rPr>
        <w:t>RNA-seq libraries were synthetized by collaborators at The University of California, Los Angeles (UCLA), and sequencing was performed by Fulgent Genetics (</w:t>
      </w:r>
      <w:r w:rsidR="0078641E">
        <w:rPr>
          <w:rFonts w:ascii="Palatino Linotype" w:hAnsi="Palatino Linotype"/>
          <w:lang w:val="en-GB"/>
        </w:rPr>
        <w:t>Temple City</w:t>
      </w:r>
      <w:r>
        <w:rPr>
          <w:rFonts w:ascii="Palatino Linotype" w:hAnsi="Palatino Linotype"/>
          <w:lang w:val="en-GB"/>
        </w:rPr>
        <w:t>, California).</w:t>
      </w:r>
      <w:r w:rsidR="005B2E08">
        <w:rPr>
          <w:rFonts w:ascii="Palatino Linotype" w:hAnsi="Palatino Linotype"/>
          <w:lang w:val="en-GB"/>
        </w:rPr>
        <w:t xml:space="preserve"> RNA-seq data are currently under analysis.</w:t>
      </w:r>
    </w:p>
    <w:p w:rsidR="00B32498" w:rsidRPr="00BD6929" w:rsidRDefault="006D0FC5" w:rsidP="004457E1">
      <w:pPr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Lastly,</w:t>
      </w:r>
      <w:r w:rsidR="00D923B7">
        <w:rPr>
          <w:rFonts w:ascii="Palatino Linotype" w:hAnsi="Palatino Linotype"/>
          <w:lang w:val="en-GB"/>
        </w:rPr>
        <w:t xml:space="preserve"> we asked whether the induction of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D923B7">
        <w:rPr>
          <w:rFonts w:ascii="Palatino Linotype" w:hAnsi="Palatino Linotype"/>
          <w:lang w:val="en-GB"/>
        </w:rPr>
        <w:t xml:space="preserve"> sequences in response to e1a could be influenced by the expression of nearby coding genes. </w:t>
      </w:r>
      <w:r w:rsidR="004457E1">
        <w:rPr>
          <w:rFonts w:ascii="Palatino Linotype" w:hAnsi="Palatino Linotype"/>
          <w:lang w:val="en-GB"/>
        </w:rPr>
        <w:t>Using</w:t>
      </w:r>
      <w:r w:rsidR="00D923B7">
        <w:rPr>
          <w:rFonts w:ascii="Palatino Linotype" w:hAnsi="Palatino Linotype"/>
          <w:lang w:val="en-GB"/>
        </w:rPr>
        <w:t xml:space="preserve"> the online software GREAT,</w:t>
      </w:r>
      <w:r w:rsidR="004457E1">
        <w:rPr>
          <w:rFonts w:ascii="Palatino Linotype" w:hAnsi="Palatino Linotype"/>
          <w:lang w:val="en-GB"/>
        </w:rPr>
        <w:t xml:space="preserve"> we</w:t>
      </w:r>
      <w:r w:rsidR="00D923B7">
        <w:rPr>
          <w:rFonts w:ascii="Palatino Linotype" w:hAnsi="Palatino Linotype"/>
          <w:lang w:val="en-GB"/>
        </w:rPr>
        <w:t xml:space="preserve"> analysed the presence of </w:t>
      </w:r>
      <w:r w:rsidR="004457E1">
        <w:rPr>
          <w:rFonts w:ascii="Palatino Linotype" w:hAnsi="Palatino Linotype"/>
          <w:lang w:val="en-GB"/>
        </w:rPr>
        <w:t>expressed</w:t>
      </w:r>
      <w:r w:rsidR="00D923B7">
        <w:rPr>
          <w:rFonts w:ascii="Palatino Linotype" w:hAnsi="Palatino Linotype"/>
          <w:lang w:val="en-GB"/>
        </w:rPr>
        <w:t xml:space="preserve"> genes within 100 kb from the cent</w:t>
      </w:r>
      <w:r w:rsidR="004457E1">
        <w:rPr>
          <w:rFonts w:ascii="Palatino Linotype" w:hAnsi="Palatino Linotype"/>
          <w:lang w:val="en-GB"/>
        </w:rPr>
        <w:t>re</w:t>
      </w:r>
      <w:r w:rsidR="00D923B7">
        <w:rPr>
          <w:rFonts w:ascii="Palatino Linotype" w:hAnsi="Palatino Linotype"/>
          <w:lang w:val="en-GB"/>
        </w:rPr>
        <w:t xml:space="preserve"> of an</w:t>
      </w:r>
      <w:r w:rsidR="004457E1">
        <w:rPr>
          <w:rFonts w:ascii="Palatino Linotype" w:hAnsi="Palatino Linotype"/>
          <w:lang w:val="en-GB"/>
        </w:rPr>
        <w:t xml:space="preserve"> expressed</w:t>
      </w:r>
      <w:r w:rsidR="00D923B7">
        <w:rPr>
          <w:rFonts w:ascii="Palatino Linotype" w:hAnsi="Palatino Linotype"/>
          <w:lang w:val="en-GB"/>
        </w:rPr>
        <w:t xml:space="preserve">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D923B7">
        <w:rPr>
          <w:rFonts w:ascii="Palatino Linotype" w:hAnsi="Palatino Linotype"/>
          <w:lang w:val="en-GB"/>
        </w:rPr>
        <w:t xml:space="preserve"> body. </w:t>
      </w:r>
      <w:r w:rsidR="004457E1">
        <w:rPr>
          <w:rFonts w:ascii="Palatino Linotype" w:hAnsi="Palatino Linotype"/>
          <w:lang w:val="en-GB"/>
        </w:rPr>
        <w:t xml:space="preserve">The analyses show </w:t>
      </w:r>
      <w:r w:rsidR="0078641E">
        <w:rPr>
          <w:rFonts w:ascii="Palatino Linotype" w:hAnsi="Palatino Linotype"/>
          <w:lang w:val="en-GB"/>
        </w:rPr>
        <w:t xml:space="preserve">a </w:t>
      </w:r>
      <w:r w:rsidR="004457E1">
        <w:rPr>
          <w:rFonts w:ascii="Palatino Linotype" w:hAnsi="Palatino Linotype"/>
          <w:lang w:val="en-GB"/>
        </w:rPr>
        <w:t xml:space="preserve">significant enrichment of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4457E1">
        <w:rPr>
          <w:rFonts w:ascii="Palatino Linotype" w:hAnsi="Palatino Linotype"/>
          <w:lang w:val="en-GB"/>
        </w:rPr>
        <w:t xml:space="preserve"> expressed sequences nearby expressed coding genes, and this enrichment increase</w:t>
      </w:r>
      <w:r w:rsidR="0078641E">
        <w:rPr>
          <w:rFonts w:ascii="Palatino Linotype" w:hAnsi="Palatino Linotype"/>
          <w:lang w:val="en-GB"/>
        </w:rPr>
        <w:t>s</w:t>
      </w:r>
      <w:r w:rsidR="004457E1">
        <w:rPr>
          <w:rFonts w:ascii="Palatino Linotype" w:hAnsi="Palatino Linotype"/>
          <w:lang w:val="en-GB"/>
        </w:rPr>
        <w:t xml:space="preserve"> when considering the genomic association </w:t>
      </w:r>
      <w:r w:rsidR="0078641E">
        <w:rPr>
          <w:rFonts w:ascii="Palatino Linotype" w:hAnsi="Palatino Linotype"/>
          <w:lang w:val="en-GB"/>
        </w:rPr>
        <w:t>between</w:t>
      </w:r>
      <w:r w:rsidR="004457E1">
        <w:rPr>
          <w:rFonts w:ascii="Palatino Linotype" w:hAnsi="Palatino Linotype"/>
          <w:lang w:val="en-GB"/>
        </w:rPr>
        <w:t xml:space="preserve"> Differentially Exp</w:t>
      </w:r>
      <w:r w:rsidR="0017728B">
        <w:rPr>
          <w:rFonts w:ascii="Palatino Linotype" w:hAnsi="Palatino Linotype"/>
          <w:lang w:val="en-GB"/>
        </w:rPr>
        <w:t>r</w:t>
      </w:r>
      <w:r w:rsidR="004457E1">
        <w:rPr>
          <w:rFonts w:ascii="Palatino Linotype" w:hAnsi="Palatino Linotype"/>
          <w:lang w:val="en-GB"/>
        </w:rPr>
        <w:t xml:space="preserve">essed (DE) coding genes and DE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4457E1">
        <w:rPr>
          <w:rFonts w:ascii="Palatino Linotype" w:hAnsi="Palatino Linotype"/>
          <w:lang w:val="en-GB"/>
        </w:rPr>
        <w:t xml:space="preserve">s. </w:t>
      </w:r>
    </w:p>
    <w:p w:rsidR="007D2017" w:rsidRPr="00BD6929" w:rsidRDefault="007D2017" w:rsidP="002D12E6">
      <w:pPr>
        <w:jc w:val="both"/>
        <w:rPr>
          <w:rFonts w:ascii="Palatino Linotype" w:hAnsi="Palatino Linotype"/>
          <w:lang w:val="en-GB"/>
        </w:rPr>
      </w:pPr>
      <w:r w:rsidRPr="00BD6929">
        <w:rPr>
          <w:rFonts w:ascii="Palatino Linotype" w:hAnsi="Palatino Linotype"/>
          <w:lang w:val="en-GB"/>
        </w:rPr>
        <w:t xml:space="preserve">Overall, the data </w:t>
      </w:r>
      <w:r w:rsidR="0078641E">
        <w:rPr>
          <w:rFonts w:ascii="Palatino Linotype" w:hAnsi="Palatino Linotype"/>
          <w:lang w:val="en-GB"/>
        </w:rPr>
        <w:t xml:space="preserve">suggest </w:t>
      </w:r>
      <w:r w:rsidRPr="00BD6929">
        <w:rPr>
          <w:rFonts w:ascii="Palatino Linotype" w:hAnsi="Palatino Linotype"/>
          <w:lang w:val="en-GB"/>
        </w:rPr>
        <w:t>th</w:t>
      </w:r>
      <w:r w:rsidR="00867E43">
        <w:rPr>
          <w:rFonts w:ascii="Palatino Linotype" w:hAnsi="Palatino Linotype"/>
          <w:lang w:val="en-GB"/>
        </w:rPr>
        <w:t xml:space="preserve">at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867E43">
        <w:rPr>
          <w:rFonts w:ascii="Palatino Linotype" w:hAnsi="Palatino Linotype"/>
          <w:lang w:val="en-GB"/>
        </w:rPr>
        <w:t xml:space="preserve"> overexpression in response to e1a infection could depend on the existence </w:t>
      </w:r>
      <w:r w:rsidRPr="00BD6929">
        <w:rPr>
          <w:rFonts w:ascii="Palatino Linotype" w:hAnsi="Palatino Linotype"/>
          <w:lang w:val="en-GB"/>
        </w:rPr>
        <w:t xml:space="preserve">of a </w:t>
      </w:r>
      <w:r w:rsidR="00867E43">
        <w:rPr>
          <w:rFonts w:ascii="Palatino Linotype" w:hAnsi="Palatino Linotype"/>
          <w:lang w:val="en-GB"/>
        </w:rPr>
        <w:t xml:space="preserve">basal </w:t>
      </w:r>
      <w:r w:rsidRPr="00BD6929">
        <w:rPr>
          <w:rFonts w:ascii="Palatino Linotype" w:hAnsi="Palatino Linotype"/>
          <w:lang w:val="en-GB"/>
        </w:rPr>
        <w:t>permissive transcr</w:t>
      </w:r>
      <w:r w:rsidR="00D923B7">
        <w:rPr>
          <w:rFonts w:ascii="Palatino Linotype" w:hAnsi="Palatino Linotype"/>
          <w:lang w:val="en-GB"/>
        </w:rPr>
        <w:t>i</w:t>
      </w:r>
      <w:r w:rsidRPr="00BD6929">
        <w:rPr>
          <w:rFonts w:ascii="Palatino Linotype" w:hAnsi="Palatino Linotype"/>
          <w:lang w:val="en-GB"/>
        </w:rPr>
        <w:t>ption state</w:t>
      </w:r>
      <w:r w:rsidR="00867E43">
        <w:rPr>
          <w:rFonts w:ascii="Palatino Linotype" w:hAnsi="Palatino Linotype"/>
          <w:lang w:val="en-GB"/>
        </w:rPr>
        <w:t xml:space="preserve">, which could be influenced by the epigenetic landscape of nearby active coding genes. </w:t>
      </w:r>
      <w:r w:rsidR="004457E1">
        <w:rPr>
          <w:rFonts w:ascii="Palatino Linotype" w:hAnsi="Palatino Linotype"/>
          <w:lang w:val="en-GB"/>
        </w:rPr>
        <w:t xml:space="preserve"> </w:t>
      </w:r>
    </w:p>
    <w:p w:rsidR="00EF5D44" w:rsidRDefault="00D34D14" w:rsidP="00C74353">
      <w:pPr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It is not clear what is the functional activation of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>
        <w:rPr>
          <w:rFonts w:ascii="Palatino Linotype" w:hAnsi="Palatino Linotype"/>
          <w:lang w:val="en-GB"/>
        </w:rPr>
        <w:t xml:space="preserve"> sequences in response to virus infection.</w:t>
      </w:r>
      <w:r w:rsidR="00C74353">
        <w:rPr>
          <w:rFonts w:ascii="Palatino Linotype" w:hAnsi="Palatino Linotype"/>
          <w:lang w:val="en-GB"/>
        </w:rPr>
        <w:t xml:space="preserve"> </w:t>
      </w:r>
      <w:r w:rsidR="00867E43">
        <w:rPr>
          <w:rFonts w:ascii="Palatino Linotype" w:hAnsi="Palatino Linotype"/>
          <w:lang w:val="en-GB"/>
        </w:rPr>
        <w:t xml:space="preserve">To this purpose, the coding transcriptome of fibroblasts </w:t>
      </w:r>
      <w:r w:rsidR="005B2E08">
        <w:rPr>
          <w:rFonts w:ascii="Palatino Linotype" w:hAnsi="Palatino Linotype"/>
          <w:lang w:val="en-GB"/>
        </w:rPr>
        <w:t>that</w:t>
      </w:r>
      <w:r w:rsidR="00867E43">
        <w:rPr>
          <w:rFonts w:ascii="Palatino Linotype" w:hAnsi="Palatino Linotype"/>
          <w:lang w:val="en-GB"/>
        </w:rPr>
        <w:t xml:space="preserve"> </w:t>
      </w:r>
      <w:r w:rsidR="005B2E08">
        <w:rPr>
          <w:rFonts w:ascii="Palatino Linotype" w:hAnsi="Palatino Linotype"/>
          <w:lang w:val="en-GB"/>
        </w:rPr>
        <w:t xml:space="preserve">stably </w:t>
      </w:r>
      <w:r w:rsidR="00867E43">
        <w:rPr>
          <w:rFonts w:ascii="Palatino Linotype" w:hAnsi="Palatino Linotype"/>
          <w:lang w:val="en-GB"/>
        </w:rPr>
        <w:t>overexpress</w:t>
      </w:r>
      <w:r w:rsidR="005B2E08">
        <w:rPr>
          <w:rFonts w:ascii="Palatino Linotype" w:hAnsi="Palatino Linotype"/>
          <w:lang w:val="en-GB"/>
        </w:rPr>
        <w:t xml:space="preserve">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867E43" w:rsidRPr="005B2E08">
        <w:rPr>
          <w:rFonts w:ascii="Palatino Linotype" w:hAnsi="Palatino Linotype"/>
          <w:i/>
          <w:lang w:val="en-GB"/>
        </w:rPr>
        <w:t>Sq2</w:t>
      </w:r>
      <w:r w:rsidR="00867E43">
        <w:rPr>
          <w:rFonts w:ascii="Palatino Linotype" w:hAnsi="Palatino Linotype"/>
          <w:lang w:val="en-GB"/>
        </w:rPr>
        <w:t xml:space="preserve"> or </w:t>
      </w:r>
      <w:proofErr w:type="spellStart"/>
      <w:r w:rsidR="00F84B8C" w:rsidRPr="00F84B8C">
        <w:rPr>
          <w:rFonts w:ascii="Palatino Linotype" w:hAnsi="Palatino Linotype"/>
          <w:i/>
          <w:lang w:val="en-GB"/>
        </w:rPr>
        <w:t>Alu</w:t>
      </w:r>
      <w:r w:rsidR="00867E43" w:rsidRPr="005B2E08">
        <w:rPr>
          <w:rFonts w:ascii="Palatino Linotype" w:hAnsi="Palatino Linotype"/>
          <w:i/>
          <w:lang w:val="en-GB"/>
        </w:rPr>
        <w:t>Sx</w:t>
      </w:r>
      <w:proofErr w:type="spellEnd"/>
      <w:r w:rsidR="00867E43">
        <w:rPr>
          <w:rFonts w:ascii="Palatino Linotype" w:hAnsi="Palatino Linotype"/>
          <w:lang w:val="en-GB"/>
        </w:rPr>
        <w:t xml:space="preserve"> </w:t>
      </w:r>
      <w:r w:rsidR="00C74353">
        <w:rPr>
          <w:rFonts w:ascii="Palatino Linotype" w:hAnsi="Palatino Linotype"/>
          <w:lang w:val="en-GB"/>
        </w:rPr>
        <w:t>w</w:t>
      </w:r>
      <w:r w:rsidR="00867E43">
        <w:rPr>
          <w:rFonts w:ascii="Palatino Linotype" w:hAnsi="Palatino Linotype"/>
          <w:lang w:val="en-GB"/>
        </w:rPr>
        <w:t>as</w:t>
      </w:r>
      <w:r w:rsidR="00C74353">
        <w:rPr>
          <w:rFonts w:ascii="Palatino Linotype" w:hAnsi="Palatino Linotype"/>
          <w:lang w:val="en-GB"/>
        </w:rPr>
        <w:t xml:space="preserve"> analysed in more detail using the Ingenuity Pathway Analysis software (</w:t>
      </w:r>
      <w:r w:rsidR="00E53B9D" w:rsidRPr="00BD6929">
        <w:rPr>
          <w:rFonts w:ascii="Palatino Linotype" w:hAnsi="Palatino Linotype"/>
          <w:lang w:val="en-GB"/>
        </w:rPr>
        <w:t>IPA</w:t>
      </w:r>
      <w:r w:rsidR="00C74353">
        <w:rPr>
          <w:rFonts w:ascii="Palatino Linotype" w:hAnsi="Palatino Linotype"/>
          <w:lang w:val="en-GB"/>
        </w:rPr>
        <w:t xml:space="preserve">, </w:t>
      </w:r>
      <w:r w:rsidR="00E53B9D" w:rsidRPr="00BD6929">
        <w:rPr>
          <w:rFonts w:ascii="Palatino Linotype" w:hAnsi="Palatino Linotype"/>
          <w:lang w:val="en-GB"/>
        </w:rPr>
        <w:t>Qiagen)</w:t>
      </w:r>
      <w:r w:rsidR="00C74353">
        <w:rPr>
          <w:rFonts w:ascii="Palatino Linotype" w:hAnsi="Palatino Linotype"/>
          <w:lang w:val="en-GB"/>
        </w:rPr>
        <w:t>. A</w:t>
      </w:r>
      <w:r w:rsidR="0065147D">
        <w:rPr>
          <w:rFonts w:ascii="Palatino Linotype" w:hAnsi="Palatino Linotype"/>
          <w:lang w:val="en-GB"/>
        </w:rPr>
        <w:t xml:space="preserve"> significant</w:t>
      </w:r>
      <w:r w:rsidR="00C74353" w:rsidRPr="00BD6929">
        <w:rPr>
          <w:rFonts w:ascii="Palatino Linotype" w:hAnsi="Palatino Linotype"/>
          <w:lang w:val="en-GB"/>
        </w:rPr>
        <w:t xml:space="preserve"> enrichment of pathway</w:t>
      </w:r>
      <w:r w:rsidR="00C74353">
        <w:rPr>
          <w:rFonts w:ascii="Palatino Linotype" w:hAnsi="Palatino Linotype"/>
          <w:lang w:val="en-GB"/>
        </w:rPr>
        <w:t>s</w:t>
      </w:r>
      <w:r w:rsidR="00C74353" w:rsidRPr="00BD6929">
        <w:rPr>
          <w:rFonts w:ascii="Palatino Linotype" w:hAnsi="Palatino Linotype"/>
          <w:lang w:val="en-GB"/>
        </w:rPr>
        <w:t xml:space="preserve"> belonging to cell cycle </w:t>
      </w:r>
      <w:r w:rsidR="00C74353">
        <w:rPr>
          <w:rFonts w:ascii="Palatino Linotype" w:hAnsi="Palatino Linotype"/>
          <w:lang w:val="en-GB"/>
        </w:rPr>
        <w:t xml:space="preserve">was confirmed </w:t>
      </w:r>
      <w:r w:rsidR="00C74353" w:rsidRPr="00BD6929">
        <w:rPr>
          <w:rFonts w:ascii="Palatino Linotype" w:hAnsi="Palatino Linotype"/>
          <w:lang w:val="en-GB"/>
        </w:rPr>
        <w:t xml:space="preserve">in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65147D">
        <w:rPr>
          <w:rFonts w:ascii="Palatino Linotype" w:hAnsi="Palatino Linotype"/>
          <w:lang w:val="en-GB"/>
        </w:rPr>
        <w:t>s</w:t>
      </w:r>
      <w:r w:rsidR="005B2E08">
        <w:rPr>
          <w:rFonts w:ascii="Palatino Linotype" w:hAnsi="Palatino Linotype"/>
          <w:lang w:val="en-GB"/>
        </w:rPr>
        <w:t>-</w:t>
      </w:r>
      <w:r w:rsidR="00C74353" w:rsidRPr="00BD6929">
        <w:rPr>
          <w:rFonts w:ascii="Palatino Linotype" w:hAnsi="Palatino Linotype"/>
          <w:lang w:val="en-GB"/>
        </w:rPr>
        <w:t xml:space="preserve">overexpressing </w:t>
      </w:r>
      <w:r w:rsidR="0065147D">
        <w:rPr>
          <w:rFonts w:ascii="Palatino Linotype" w:hAnsi="Palatino Linotype"/>
          <w:lang w:val="en-GB"/>
        </w:rPr>
        <w:t>cells</w:t>
      </w:r>
      <w:r w:rsidR="00C74353" w:rsidRPr="00BD6929">
        <w:rPr>
          <w:rFonts w:ascii="Palatino Linotype" w:hAnsi="Palatino Linotype"/>
          <w:lang w:val="en-GB"/>
        </w:rPr>
        <w:t xml:space="preserve">, but not in control </w:t>
      </w:r>
      <w:r w:rsidR="0065147D">
        <w:rPr>
          <w:rFonts w:ascii="Palatino Linotype" w:hAnsi="Palatino Linotype"/>
          <w:lang w:val="en-GB"/>
        </w:rPr>
        <w:t>samples</w:t>
      </w:r>
      <w:r w:rsidR="00C74353" w:rsidRPr="00BD6929">
        <w:rPr>
          <w:rFonts w:ascii="Palatino Linotype" w:hAnsi="Palatino Linotype"/>
          <w:lang w:val="en-GB"/>
        </w:rPr>
        <w:t>. We also performed upstream regulator analysis</w:t>
      </w:r>
      <w:r w:rsidR="00C74353">
        <w:rPr>
          <w:rFonts w:ascii="Palatino Linotype" w:hAnsi="Palatino Linotype"/>
          <w:lang w:val="en-GB"/>
        </w:rPr>
        <w:t xml:space="preserve"> to identify </w:t>
      </w:r>
      <w:r w:rsidR="0065147D">
        <w:rPr>
          <w:rFonts w:ascii="Palatino Linotype" w:hAnsi="Palatino Linotype"/>
          <w:lang w:val="en-GB"/>
        </w:rPr>
        <w:t xml:space="preserve">potential </w:t>
      </w:r>
      <w:r w:rsidR="00C74353">
        <w:rPr>
          <w:rFonts w:ascii="Palatino Linotype" w:hAnsi="Palatino Linotype"/>
          <w:lang w:val="en-GB"/>
        </w:rPr>
        <w:t>molecules that could modulate the expression of the detected DE genes</w:t>
      </w:r>
      <w:r w:rsidR="00C74353" w:rsidRPr="00BD6929">
        <w:rPr>
          <w:rFonts w:ascii="Palatino Linotype" w:hAnsi="Palatino Linotype"/>
          <w:lang w:val="en-GB"/>
        </w:rPr>
        <w:t xml:space="preserve">, </w:t>
      </w:r>
      <w:r w:rsidR="0065147D">
        <w:rPr>
          <w:rFonts w:ascii="Palatino Linotype" w:hAnsi="Palatino Linotype"/>
          <w:lang w:val="en-GB"/>
        </w:rPr>
        <w:t xml:space="preserve">revealing </w:t>
      </w:r>
      <w:r w:rsidR="00C74353" w:rsidRPr="00BD6929">
        <w:rPr>
          <w:rFonts w:ascii="Palatino Linotype" w:hAnsi="Palatino Linotype"/>
          <w:lang w:val="en-GB"/>
        </w:rPr>
        <w:t xml:space="preserve">FOXM1, CDKN1A and YAP1 </w:t>
      </w:r>
      <w:r w:rsidR="0065147D">
        <w:rPr>
          <w:rFonts w:ascii="Palatino Linotype" w:hAnsi="Palatino Linotype"/>
          <w:lang w:val="en-GB"/>
        </w:rPr>
        <w:t>as</w:t>
      </w:r>
      <w:r w:rsidR="00C74353" w:rsidRPr="00BD6929">
        <w:rPr>
          <w:rFonts w:ascii="Palatino Linotype" w:hAnsi="Palatino Linotype"/>
          <w:lang w:val="en-GB"/>
        </w:rPr>
        <w:t xml:space="preserve"> </w:t>
      </w:r>
      <w:r w:rsidR="0065147D">
        <w:rPr>
          <w:rFonts w:ascii="Palatino Linotype" w:hAnsi="Palatino Linotype"/>
          <w:lang w:val="en-GB"/>
        </w:rPr>
        <w:t>possible candidates</w:t>
      </w:r>
      <w:r w:rsidR="00C74353" w:rsidRPr="00BD6929">
        <w:rPr>
          <w:rFonts w:ascii="Palatino Linotype" w:hAnsi="Palatino Linotype"/>
          <w:lang w:val="en-GB"/>
        </w:rPr>
        <w:t>. Moreover, in order to</w:t>
      </w:r>
      <w:r w:rsidR="0065147D">
        <w:rPr>
          <w:rFonts w:ascii="Palatino Linotype" w:hAnsi="Palatino Linotype"/>
          <w:lang w:val="en-GB"/>
        </w:rPr>
        <w:t xml:space="preserve"> unravel the mechanism underlying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C74353" w:rsidRPr="00BD6929">
        <w:rPr>
          <w:rFonts w:ascii="Palatino Linotype" w:hAnsi="Palatino Linotype"/>
          <w:lang w:val="en-GB"/>
        </w:rPr>
        <w:t xml:space="preserve"> </w:t>
      </w:r>
      <w:r w:rsidR="00C74353">
        <w:rPr>
          <w:rFonts w:ascii="Palatino Linotype" w:hAnsi="Palatino Linotype"/>
          <w:lang w:val="en-GB"/>
        </w:rPr>
        <w:t xml:space="preserve">RNA modulation of </w:t>
      </w:r>
      <w:r w:rsidR="00C74353" w:rsidRPr="00BD6929">
        <w:rPr>
          <w:rFonts w:ascii="Palatino Linotype" w:hAnsi="Palatino Linotype"/>
          <w:lang w:val="en-GB"/>
        </w:rPr>
        <w:t>cell</w:t>
      </w:r>
      <w:r w:rsidR="00C74353">
        <w:rPr>
          <w:rFonts w:ascii="Palatino Linotype" w:hAnsi="Palatino Linotype"/>
          <w:lang w:val="en-GB"/>
        </w:rPr>
        <w:t xml:space="preserve"> </w:t>
      </w:r>
      <w:r w:rsidR="00C74353" w:rsidRPr="00BD6929">
        <w:rPr>
          <w:rFonts w:ascii="Palatino Linotype" w:hAnsi="Palatino Linotype"/>
          <w:lang w:val="en-GB"/>
        </w:rPr>
        <w:t>transcriptome, we analyse</w:t>
      </w:r>
      <w:r w:rsidR="00C74353">
        <w:rPr>
          <w:rFonts w:ascii="Palatino Linotype" w:hAnsi="Palatino Linotype"/>
          <w:lang w:val="en-GB"/>
        </w:rPr>
        <w:t>d</w:t>
      </w:r>
      <w:r w:rsidR="00C74353" w:rsidRPr="00BD6929">
        <w:rPr>
          <w:rFonts w:ascii="Palatino Linotype" w:hAnsi="Palatino Linotype"/>
          <w:lang w:val="en-GB"/>
        </w:rPr>
        <w:t xml:space="preserve"> the</w:t>
      </w:r>
      <w:r w:rsidR="0065147D">
        <w:rPr>
          <w:rFonts w:ascii="Palatino Linotype" w:hAnsi="Palatino Linotype"/>
          <w:lang w:val="en-GB"/>
        </w:rPr>
        <w:t xml:space="preserve"> possible</w:t>
      </w:r>
      <w:r w:rsidR="00C74353" w:rsidRPr="00BD6929">
        <w:rPr>
          <w:rFonts w:ascii="Palatino Linotype" w:hAnsi="Palatino Linotype"/>
          <w:lang w:val="en-GB"/>
        </w:rPr>
        <w:t xml:space="preserve"> localization of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C74353" w:rsidRPr="00BD6929">
        <w:rPr>
          <w:rFonts w:ascii="Palatino Linotype" w:hAnsi="Palatino Linotype"/>
          <w:lang w:val="en-GB"/>
        </w:rPr>
        <w:t xml:space="preserve"> elements within the 3’ UTR of Differentially Expressed genes</w:t>
      </w:r>
      <w:r w:rsidR="007621A1">
        <w:rPr>
          <w:rFonts w:ascii="Palatino Linotype" w:hAnsi="Palatino Linotype"/>
          <w:lang w:val="en-GB"/>
        </w:rPr>
        <w:t>. We</w:t>
      </w:r>
      <w:r w:rsidR="00C74353" w:rsidRPr="00BD6929">
        <w:rPr>
          <w:rFonts w:ascii="Palatino Linotype" w:hAnsi="Palatino Linotype"/>
          <w:lang w:val="en-GB"/>
        </w:rPr>
        <w:t xml:space="preserve"> found an enrichment of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65147D">
        <w:rPr>
          <w:rFonts w:ascii="Palatino Linotype" w:hAnsi="Palatino Linotype"/>
          <w:lang w:val="en-GB"/>
        </w:rPr>
        <w:t xml:space="preserve"> sequences </w:t>
      </w:r>
      <w:r w:rsidR="00C74353" w:rsidRPr="00BD6929">
        <w:rPr>
          <w:rFonts w:ascii="Palatino Linotype" w:hAnsi="Palatino Linotype"/>
          <w:lang w:val="en-GB"/>
        </w:rPr>
        <w:t xml:space="preserve">in the 3’ UTR of </w:t>
      </w:r>
      <w:r w:rsidR="0065147D">
        <w:rPr>
          <w:rFonts w:ascii="Palatino Linotype" w:hAnsi="Palatino Linotype"/>
          <w:lang w:val="en-GB"/>
        </w:rPr>
        <w:t xml:space="preserve">DE </w:t>
      </w:r>
      <w:r w:rsidR="00C74353" w:rsidRPr="00BD6929">
        <w:rPr>
          <w:rFonts w:ascii="Palatino Linotype" w:hAnsi="Palatino Linotype"/>
          <w:lang w:val="en-GB"/>
        </w:rPr>
        <w:t xml:space="preserve">genes </w:t>
      </w:r>
      <w:r w:rsidR="0065147D">
        <w:rPr>
          <w:rFonts w:ascii="Palatino Linotype" w:hAnsi="Palatino Linotype"/>
          <w:lang w:val="en-GB"/>
        </w:rPr>
        <w:t xml:space="preserve">detected in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65147D" w:rsidRPr="005B2E08">
        <w:rPr>
          <w:rFonts w:ascii="Palatino Linotype" w:hAnsi="Palatino Linotype"/>
          <w:i/>
          <w:lang w:val="en-GB"/>
        </w:rPr>
        <w:t>Sq2</w:t>
      </w:r>
      <w:r w:rsidR="0065147D">
        <w:rPr>
          <w:rFonts w:ascii="Palatino Linotype" w:hAnsi="Palatino Linotype"/>
          <w:lang w:val="en-GB"/>
        </w:rPr>
        <w:t xml:space="preserve"> overexpressing cells, suggesting </w:t>
      </w:r>
      <w:r w:rsidR="008B2B15">
        <w:rPr>
          <w:rFonts w:ascii="Palatino Linotype" w:hAnsi="Palatino Linotype"/>
          <w:lang w:val="en-GB"/>
        </w:rPr>
        <w:t xml:space="preserve">the involvement of an intermolecular base-pairing between </w:t>
      </w:r>
      <w:r w:rsidR="008B2B15" w:rsidRPr="008B2B15">
        <w:rPr>
          <w:rFonts w:ascii="Palatino Linotype" w:hAnsi="Palatino Linotype"/>
          <w:i/>
          <w:lang w:val="en-GB"/>
        </w:rPr>
        <w:t>Alu</w:t>
      </w:r>
      <w:r w:rsidR="008B2B15">
        <w:rPr>
          <w:rFonts w:ascii="Palatino Linotype" w:hAnsi="Palatino Linotype"/>
          <w:lang w:val="en-GB"/>
        </w:rPr>
        <w:t xml:space="preserve"> sequences in the modulation of gene expression</w:t>
      </w:r>
      <w:r w:rsidR="00C74353" w:rsidRPr="00BD6929">
        <w:rPr>
          <w:rFonts w:ascii="Palatino Linotype" w:hAnsi="Palatino Linotype"/>
          <w:lang w:val="en-GB"/>
        </w:rPr>
        <w:t>. Lastly, miRNA target</w:t>
      </w:r>
      <w:r w:rsidR="00EF5D44">
        <w:rPr>
          <w:rFonts w:ascii="Palatino Linotype" w:hAnsi="Palatino Linotype"/>
          <w:lang w:val="en-GB"/>
        </w:rPr>
        <w:t>ing</w:t>
      </w:r>
      <w:r w:rsidR="00C74353" w:rsidRPr="00BD6929">
        <w:rPr>
          <w:rFonts w:ascii="Palatino Linotype" w:hAnsi="Palatino Linotype"/>
          <w:lang w:val="en-GB"/>
        </w:rPr>
        <w:t xml:space="preserve"> </w:t>
      </w:r>
      <w:r w:rsidR="008B2B15">
        <w:rPr>
          <w:rFonts w:ascii="Palatino Linotype" w:hAnsi="Palatino Linotype"/>
          <w:lang w:val="en-GB"/>
        </w:rPr>
        <w:t xml:space="preserve">of </w:t>
      </w:r>
      <w:r w:rsidR="008B2B15" w:rsidRPr="008B2B15">
        <w:rPr>
          <w:rFonts w:ascii="Palatino Linotype" w:hAnsi="Palatino Linotype"/>
          <w:i/>
          <w:lang w:val="en-GB"/>
        </w:rPr>
        <w:t>Alus</w:t>
      </w:r>
      <w:r w:rsidR="008B2B15">
        <w:rPr>
          <w:rFonts w:ascii="Palatino Linotype" w:hAnsi="Palatino Linotype"/>
          <w:lang w:val="en-GB"/>
        </w:rPr>
        <w:t xml:space="preserve"> and DE genes </w:t>
      </w:r>
      <w:r w:rsidR="00C74353" w:rsidRPr="00BD6929">
        <w:rPr>
          <w:rFonts w:ascii="Palatino Linotype" w:hAnsi="Palatino Linotype"/>
          <w:lang w:val="en-GB"/>
        </w:rPr>
        <w:t xml:space="preserve">was </w:t>
      </w:r>
      <w:r w:rsidR="008B2B15">
        <w:rPr>
          <w:rFonts w:ascii="Palatino Linotype" w:hAnsi="Palatino Linotype"/>
          <w:lang w:val="en-GB"/>
        </w:rPr>
        <w:t>investigated</w:t>
      </w:r>
      <w:r w:rsidR="00C74353" w:rsidRPr="00BD6929">
        <w:rPr>
          <w:rFonts w:ascii="Palatino Linotype" w:hAnsi="Palatino Linotype"/>
          <w:lang w:val="en-GB"/>
        </w:rPr>
        <w:t xml:space="preserve">. </w:t>
      </w:r>
      <w:r w:rsidR="00EF5D44">
        <w:rPr>
          <w:rFonts w:ascii="Palatino Linotype" w:hAnsi="Palatino Linotype"/>
          <w:lang w:val="en-GB"/>
        </w:rPr>
        <w:t>I</w:t>
      </w:r>
      <w:r w:rsidR="00C74353" w:rsidRPr="00BD6929">
        <w:rPr>
          <w:rFonts w:ascii="Palatino Linotype" w:hAnsi="Palatino Linotype"/>
          <w:lang w:val="en-GB"/>
        </w:rPr>
        <w:t xml:space="preserve">nterrogating the databases </w:t>
      </w:r>
      <w:proofErr w:type="spellStart"/>
      <w:r w:rsidR="00C74353" w:rsidRPr="00BD6929">
        <w:rPr>
          <w:rFonts w:ascii="Palatino Linotype" w:hAnsi="Palatino Linotype"/>
          <w:lang w:val="en-GB"/>
        </w:rPr>
        <w:t>miRBase</w:t>
      </w:r>
      <w:proofErr w:type="spellEnd"/>
      <w:r w:rsidR="00C74353" w:rsidRPr="00BD6929">
        <w:rPr>
          <w:rFonts w:ascii="Palatino Linotype" w:hAnsi="Palatino Linotype"/>
          <w:lang w:val="en-GB"/>
        </w:rPr>
        <w:t xml:space="preserve"> and </w:t>
      </w:r>
      <w:proofErr w:type="spellStart"/>
      <w:r w:rsidR="00C74353" w:rsidRPr="00BD6929">
        <w:rPr>
          <w:rFonts w:ascii="Palatino Linotype" w:hAnsi="Palatino Linotype"/>
          <w:lang w:val="en-GB"/>
        </w:rPr>
        <w:t>miRDB</w:t>
      </w:r>
      <w:proofErr w:type="spellEnd"/>
      <w:r w:rsidR="00C74353" w:rsidRPr="00BD6929">
        <w:rPr>
          <w:rFonts w:ascii="Palatino Linotype" w:hAnsi="Palatino Linotype"/>
          <w:lang w:val="en-GB"/>
        </w:rPr>
        <w:t xml:space="preserve">, we found that </w:t>
      </w:r>
      <w:proofErr w:type="spellStart"/>
      <w:r w:rsidR="00F84B8C" w:rsidRPr="00F84B8C">
        <w:rPr>
          <w:rFonts w:ascii="Palatino Linotype" w:hAnsi="Palatino Linotype"/>
          <w:i/>
          <w:lang w:val="en-GB"/>
        </w:rPr>
        <w:t>Alu</w:t>
      </w:r>
      <w:r w:rsidR="00C74353" w:rsidRPr="008B2B15">
        <w:rPr>
          <w:rFonts w:ascii="Palatino Linotype" w:hAnsi="Palatino Linotype"/>
          <w:i/>
          <w:lang w:val="en-GB"/>
        </w:rPr>
        <w:t>Sx</w:t>
      </w:r>
      <w:proofErr w:type="spellEnd"/>
      <w:r w:rsidR="00C74353" w:rsidRPr="00BD6929">
        <w:rPr>
          <w:rFonts w:ascii="Palatino Linotype" w:hAnsi="Palatino Linotype"/>
          <w:lang w:val="en-GB"/>
        </w:rPr>
        <w:t xml:space="preserve"> </w:t>
      </w:r>
      <w:r w:rsidR="00EF5D44">
        <w:rPr>
          <w:rFonts w:ascii="Palatino Linotype" w:hAnsi="Palatino Linotype"/>
          <w:lang w:val="en-GB"/>
        </w:rPr>
        <w:t>hosts</w:t>
      </w:r>
      <w:r w:rsidR="00C74353" w:rsidRPr="00BD6929">
        <w:rPr>
          <w:rFonts w:ascii="Palatino Linotype" w:hAnsi="Palatino Linotype"/>
          <w:lang w:val="en-GB"/>
        </w:rPr>
        <w:t xml:space="preserve"> </w:t>
      </w:r>
      <w:r w:rsidR="00EF5D44">
        <w:rPr>
          <w:rFonts w:ascii="Palatino Linotype" w:hAnsi="Palatino Linotype"/>
          <w:lang w:val="en-GB"/>
        </w:rPr>
        <w:t xml:space="preserve">target sequences for two </w:t>
      </w:r>
      <w:r w:rsidR="00C74353" w:rsidRPr="00BD6929">
        <w:rPr>
          <w:rFonts w:ascii="Palatino Linotype" w:hAnsi="Palatino Linotype"/>
          <w:lang w:val="en-GB"/>
        </w:rPr>
        <w:t>miRNA</w:t>
      </w:r>
      <w:r w:rsidR="00EF5D44">
        <w:rPr>
          <w:rFonts w:ascii="Palatino Linotype" w:hAnsi="Palatino Linotype"/>
          <w:lang w:val="en-GB"/>
        </w:rPr>
        <w:t>s</w:t>
      </w:r>
      <w:r w:rsidR="00C74353" w:rsidRPr="00BD6929">
        <w:rPr>
          <w:rFonts w:ascii="Palatino Linotype" w:hAnsi="Palatino Linotype"/>
          <w:lang w:val="en-GB"/>
        </w:rPr>
        <w:t xml:space="preserve">, which in turn </w:t>
      </w:r>
      <w:r w:rsidR="00EF5D44">
        <w:rPr>
          <w:rFonts w:ascii="Palatino Linotype" w:hAnsi="Palatino Linotype"/>
          <w:lang w:val="en-GB"/>
        </w:rPr>
        <w:t>were found to potentially</w:t>
      </w:r>
      <w:r w:rsidR="008B2B15">
        <w:rPr>
          <w:rFonts w:ascii="Palatino Linotype" w:hAnsi="Palatino Linotype"/>
          <w:lang w:val="en-GB"/>
        </w:rPr>
        <w:t xml:space="preserve"> target</w:t>
      </w:r>
      <w:r w:rsidR="00EF5D44">
        <w:rPr>
          <w:rFonts w:ascii="Palatino Linotype" w:hAnsi="Palatino Linotype"/>
          <w:lang w:val="en-GB"/>
        </w:rPr>
        <w:t xml:space="preserve"> </w:t>
      </w:r>
      <w:r w:rsidR="00C74353" w:rsidRPr="00BD6929">
        <w:rPr>
          <w:rFonts w:ascii="Palatino Linotype" w:hAnsi="Palatino Linotype"/>
          <w:lang w:val="en-GB"/>
        </w:rPr>
        <w:t>three DE genes</w:t>
      </w:r>
      <w:r w:rsidR="008B2B15">
        <w:rPr>
          <w:rFonts w:ascii="Palatino Linotype" w:hAnsi="Palatino Linotype"/>
          <w:lang w:val="en-GB"/>
        </w:rPr>
        <w:t>. Interesting,</w:t>
      </w:r>
      <w:r w:rsidR="00EF5D44">
        <w:rPr>
          <w:rFonts w:ascii="Palatino Linotype" w:hAnsi="Palatino Linotype"/>
          <w:lang w:val="en-GB"/>
        </w:rPr>
        <w:t xml:space="preserve"> the gene </w:t>
      </w:r>
      <w:r w:rsidR="007621A1">
        <w:rPr>
          <w:rFonts w:ascii="Palatino Linotype" w:hAnsi="Palatino Linotype"/>
          <w:lang w:val="en-GB"/>
        </w:rPr>
        <w:t>PRR11</w:t>
      </w:r>
      <w:r w:rsidR="00C74353" w:rsidRPr="00BD6929">
        <w:rPr>
          <w:rFonts w:ascii="Palatino Linotype" w:hAnsi="Palatino Linotype"/>
          <w:lang w:val="en-GB"/>
        </w:rPr>
        <w:t xml:space="preserve"> belongs to cell cycle</w:t>
      </w:r>
      <w:r w:rsidR="00EF5D44">
        <w:rPr>
          <w:rFonts w:ascii="Palatino Linotype" w:hAnsi="Palatino Linotype"/>
          <w:lang w:val="en-GB"/>
        </w:rPr>
        <w:t xml:space="preserve"> pathway</w:t>
      </w:r>
      <w:r w:rsidR="00C74353" w:rsidRPr="00BD6929">
        <w:rPr>
          <w:rFonts w:ascii="Palatino Linotype" w:hAnsi="Palatino Linotype"/>
          <w:lang w:val="en-GB"/>
        </w:rPr>
        <w:t xml:space="preserve"> and is found upregulated </w:t>
      </w:r>
      <w:r w:rsidR="007621A1">
        <w:rPr>
          <w:rFonts w:ascii="Palatino Linotype" w:hAnsi="Palatino Linotype"/>
          <w:lang w:val="en-GB"/>
        </w:rPr>
        <w:t>in our RNA-seq dataset</w:t>
      </w:r>
      <w:r w:rsidR="00EF5D44">
        <w:rPr>
          <w:rFonts w:ascii="Palatino Linotype" w:hAnsi="Palatino Linotype"/>
          <w:lang w:val="en-GB"/>
        </w:rPr>
        <w:t>.</w:t>
      </w:r>
    </w:p>
    <w:p w:rsidR="007621A1" w:rsidRPr="00BD6929" w:rsidRDefault="00EF5D44" w:rsidP="00C74353">
      <w:pPr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Lastly, c</w:t>
      </w:r>
      <w:r w:rsidR="007621A1">
        <w:rPr>
          <w:rFonts w:ascii="Palatino Linotype" w:hAnsi="Palatino Linotype"/>
          <w:lang w:val="en-GB"/>
        </w:rPr>
        <w:t xml:space="preserve">ell cycle modulation </w:t>
      </w:r>
      <w:r>
        <w:rPr>
          <w:rFonts w:ascii="Palatino Linotype" w:hAnsi="Palatino Linotype"/>
          <w:lang w:val="en-GB"/>
        </w:rPr>
        <w:t xml:space="preserve">induced </w:t>
      </w:r>
      <w:r w:rsidR="007621A1">
        <w:rPr>
          <w:rFonts w:ascii="Palatino Linotype" w:hAnsi="Palatino Linotype"/>
          <w:lang w:val="en-GB"/>
        </w:rPr>
        <w:t xml:space="preserve">by </w:t>
      </w:r>
      <w:r w:rsidR="00F84B8C" w:rsidRPr="00F84B8C">
        <w:rPr>
          <w:rFonts w:ascii="Palatino Linotype" w:hAnsi="Palatino Linotype"/>
          <w:i/>
          <w:lang w:val="en-GB"/>
        </w:rPr>
        <w:t>Alu</w:t>
      </w:r>
      <w:r w:rsidR="007621A1">
        <w:rPr>
          <w:rFonts w:ascii="Palatino Linotype" w:hAnsi="Palatino Linotype"/>
          <w:lang w:val="en-GB"/>
        </w:rPr>
        <w:t xml:space="preserve"> RNA was experimentally confirmed </w:t>
      </w:r>
      <w:r>
        <w:rPr>
          <w:rFonts w:ascii="Palatino Linotype" w:hAnsi="Palatino Linotype"/>
          <w:lang w:val="en-GB"/>
        </w:rPr>
        <w:t>by</w:t>
      </w:r>
      <w:r w:rsidR="007621A1">
        <w:rPr>
          <w:rFonts w:ascii="Palatino Linotype" w:hAnsi="Palatino Linotype"/>
          <w:lang w:val="en-GB"/>
        </w:rPr>
        <w:t xml:space="preserve"> flow cytometry. Cell synchronization was obtained through serum withdrawal for 48h, </w:t>
      </w:r>
      <w:r>
        <w:rPr>
          <w:rFonts w:ascii="Palatino Linotype" w:hAnsi="Palatino Linotype"/>
          <w:lang w:val="en-GB"/>
        </w:rPr>
        <w:t>and</w:t>
      </w:r>
      <w:r w:rsidR="007621A1">
        <w:rPr>
          <w:rFonts w:ascii="Palatino Linotype" w:hAnsi="Palatino Linotype"/>
          <w:lang w:val="en-GB"/>
        </w:rPr>
        <w:t xml:space="preserve"> cell cycle was </w:t>
      </w:r>
      <w:r>
        <w:rPr>
          <w:rFonts w:ascii="Palatino Linotype" w:hAnsi="Palatino Linotype"/>
          <w:lang w:val="en-GB"/>
        </w:rPr>
        <w:t xml:space="preserve">afterwards </w:t>
      </w:r>
      <w:r w:rsidR="007621A1">
        <w:rPr>
          <w:rFonts w:ascii="Palatino Linotype" w:hAnsi="Palatino Linotype"/>
          <w:lang w:val="en-GB"/>
        </w:rPr>
        <w:t>released adding fresh</w:t>
      </w:r>
      <w:r>
        <w:rPr>
          <w:rFonts w:ascii="Palatino Linotype" w:hAnsi="Palatino Linotype"/>
          <w:lang w:val="en-GB"/>
        </w:rPr>
        <w:t xml:space="preserve"> serum-added</w:t>
      </w:r>
      <w:r w:rsidR="007621A1">
        <w:rPr>
          <w:rFonts w:ascii="Palatino Linotype" w:hAnsi="Palatino Linotype"/>
          <w:lang w:val="en-GB"/>
        </w:rPr>
        <w:t xml:space="preserve"> medium for 24h. FACS analyses were performed through Propidium Iodide staining, and </w:t>
      </w:r>
      <w:r w:rsidR="00A12862">
        <w:rPr>
          <w:rFonts w:ascii="Palatino Linotype" w:hAnsi="Palatino Linotype"/>
          <w:lang w:val="en-GB"/>
        </w:rPr>
        <w:t xml:space="preserve">cells </w:t>
      </w:r>
      <w:r w:rsidR="00A12862">
        <w:rPr>
          <w:rFonts w:ascii="Palatino Linotype" w:hAnsi="Palatino Linotype"/>
          <w:lang w:val="en-GB"/>
        </w:rPr>
        <w:lastRenderedPageBreak/>
        <w:t xml:space="preserve">overexpressing </w:t>
      </w:r>
      <w:r w:rsidR="00A12862" w:rsidRPr="00F84B8C">
        <w:rPr>
          <w:rFonts w:ascii="Palatino Linotype" w:hAnsi="Palatino Linotype"/>
          <w:i/>
          <w:lang w:val="en-GB"/>
        </w:rPr>
        <w:t>Alu</w:t>
      </w:r>
      <w:r w:rsidR="00A12862" w:rsidRPr="00A12862">
        <w:rPr>
          <w:rFonts w:ascii="Palatino Linotype" w:hAnsi="Palatino Linotype"/>
          <w:i/>
          <w:lang w:val="en-GB"/>
        </w:rPr>
        <w:t>Sq2</w:t>
      </w:r>
      <w:r w:rsidR="00A12862">
        <w:rPr>
          <w:rFonts w:ascii="Palatino Linotype" w:hAnsi="Palatino Linotype"/>
          <w:lang w:val="en-GB"/>
        </w:rPr>
        <w:t xml:space="preserve"> and </w:t>
      </w:r>
      <w:proofErr w:type="spellStart"/>
      <w:r w:rsidR="00A12862" w:rsidRPr="00F84B8C">
        <w:rPr>
          <w:rFonts w:ascii="Palatino Linotype" w:hAnsi="Palatino Linotype"/>
          <w:i/>
          <w:lang w:val="en-GB"/>
        </w:rPr>
        <w:t>Alu</w:t>
      </w:r>
      <w:r w:rsidR="00A12862" w:rsidRPr="00A12862">
        <w:rPr>
          <w:rFonts w:ascii="Palatino Linotype" w:hAnsi="Palatino Linotype"/>
          <w:i/>
          <w:lang w:val="en-GB"/>
        </w:rPr>
        <w:t>Sx</w:t>
      </w:r>
      <w:proofErr w:type="spellEnd"/>
      <w:r w:rsidR="00A12862">
        <w:rPr>
          <w:rFonts w:ascii="Palatino Linotype" w:hAnsi="Palatino Linotype"/>
          <w:lang w:val="en-GB"/>
        </w:rPr>
        <w:t xml:space="preserve"> were found </w:t>
      </w:r>
      <w:r w:rsidR="002479FC">
        <w:rPr>
          <w:rFonts w:ascii="Palatino Linotype" w:hAnsi="Palatino Linotype"/>
          <w:lang w:val="en-GB"/>
        </w:rPr>
        <w:t>significant</w:t>
      </w:r>
      <w:r w:rsidR="00A12862">
        <w:rPr>
          <w:rFonts w:ascii="Palatino Linotype" w:hAnsi="Palatino Linotype"/>
          <w:lang w:val="en-GB"/>
        </w:rPr>
        <w:t>ly</w:t>
      </w:r>
      <w:r w:rsidR="002479FC">
        <w:rPr>
          <w:rFonts w:ascii="Palatino Linotype" w:hAnsi="Palatino Linotype"/>
          <w:lang w:val="en-GB"/>
        </w:rPr>
        <w:t xml:space="preserve"> enrich</w:t>
      </w:r>
      <w:r w:rsidR="00A12862">
        <w:rPr>
          <w:rFonts w:ascii="Palatino Linotype" w:hAnsi="Palatino Linotype"/>
          <w:lang w:val="en-GB"/>
        </w:rPr>
        <w:t>ed</w:t>
      </w:r>
      <w:r w:rsidR="002479FC">
        <w:rPr>
          <w:rFonts w:ascii="Palatino Linotype" w:hAnsi="Palatino Linotype"/>
          <w:lang w:val="en-GB"/>
        </w:rPr>
        <w:t xml:space="preserve"> in the S-phase, compared to cells overexpressing a control sequence or an empty vector.</w:t>
      </w:r>
    </w:p>
    <w:p w:rsidR="00C74353" w:rsidRPr="00BD6929" w:rsidRDefault="00C74353" w:rsidP="00C74353">
      <w:pPr>
        <w:jc w:val="both"/>
        <w:rPr>
          <w:rFonts w:ascii="Palatino Linotype" w:hAnsi="Palatino Linotype"/>
          <w:lang w:val="en-GB"/>
        </w:rPr>
      </w:pPr>
      <w:r w:rsidRPr="00BD6929">
        <w:rPr>
          <w:rFonts w:ascii="Palatino Linotype" w:hAnsi="Palatino Linotype"/>
          <w:lang w:val="en-GB"/>
        </w:rPr>
        <w:t>The results presented here are published in Cantarella et al, 2019</w:t>
      </w:r>
      <w:r w:rsidR="007621A1">
        <w:rPr>
          <w:rFonts w:ascii="Palatino Linotype" w:hAnsi="Palatino Linotype"/>
          <w:lang w:val="en-GB"/>
        </w:rPr>
        <w:t xml:space="preserve"> </w:t>
      </w:r>
      <w:r w:rsidR="007621A1" w:rsidRPr="007621A1">
        <w:rPr>
          <w:rFonts w:ascii="Palatino Linotype" w:hAnsi="Palatino Linotype"/>
          <w:lang w:val="en-GB"/>
        </w:rPr>
        <w:t>{Cantarella, 2019 #38}</w:t>
      </w:r>
      <w:r w:rsidR="007621A1">
        <w:rPr>
          <w:rFonts w:ascii="Palatino Linotype" w:hAnsi="Palatino Linotype"/>
          <w:lang w:val="en-GB"/>
        </w:rPr>
        <w:t>.</w:t>
      </w:r>
    </w:p>
    <w:p w:rsidR="004858DF" w:rsidRPr="00BD6929" w:rsidRDefault="004858DF" w:rsidP="002D12E6">
      <w:pPr>
        <w:jc w:val="both"/>
        <w:rPr>
          <w:rFonts w:ascii="Palatino Linotype" w:hAnsi="Palatino Linotype"/>
          <w:u w:val="single"/>
          <w:lang w:val="en-GB"/>
        </w:rPr>
      </w:pPr>
    </w:p>
    <w:sectPr w:rsidR="004858DF" w:rsidRPr="00BD6929" w:rsidSect="004F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DF"/>
    <w:rsid w:val="00030DB7"/>
    <w:rsid w:val="0017728B"/>
    <w:rsid w:val="00210DE8"/>
    <w:rsid w:val="002479FC"/>
    <w:rsid w:val="002D12E6"/>
    <w:rsid w:val="00342147"/>
    <w:rsid w:val="0035745B"/>
    <w:rsid w:val="00375585"/>
    <w:rsid w:val="003806DE"/>
    <w:rsid w:val="003C6958"/>
    <w:rsid w:val="003D2CD9"/>
    <w:rsid w:val="0044427C"/>
    <w:rsid w:val="004457E1"/>
    <w:rsid w:val="004858DF"/>
    <w:rsid w:val="004F4EE0"/>
    <w:rsid w:val="005B2E08"/>
    <w:rsid w:val="0065147D"/>
    <w:rsid w:val="00660056"/>
    <w:rsid w:val="00682664"/>
    <w:rsid w:val="00684E0A"/>
    <w:rsid w:val="006D0FC5"/>
    <w:rsid w:val="006E08BB"/>
    <w:rsid w:val="00754D71"/>
    <w:rsid w:val="007621A1"/>
    <w:rsid w:val="0078641E"/>
    <w:rsid w:val="007966AF"/>
    <w:rsid w:val="007D2017"/>
    <w:rsid w:val="00866B50"/>
    <w:rsid w:val="00867E43"/>
    <w:rsid w:val="008B2B15"/>
    <w:rsid w:val="008D5767"/>
    <w:rsid w:val="009332EF"/>
    <w:rsid w:val="00936593"/>
    <w:rsid w:val="00942524"/>
    <w:rsid w:val="0097596B"/>
    <w:rsid w:val="00976EC4"/>
    <w:rsid w:val="009A1AB2"/>
    <w:rsid w:val="009D70C2"/>
    <w:rsid w:val="00A12862"/>
    <w:rsid w:val="00AC558B"/>
    <w:rsid w:val="00B01240"/>
    <w:rsid w:val="00B32498"/>
    <w:rsid w:val="00B922CD"/>
    <w:rsid w:val="00BD6929"/>
    <w:rsid w:val="00C74353"/>
    <w:rsid w:val="00D34D14"/>
    <w:rsid w:val="00D923B7"/>
    <w:rsid w:val="00DA3B1F"/>
    <w:rsid w:val="00DE7C70"/>
    <w:rsid w:val="00E53B9D"/>
    <w:rsid w:val="00EE6084"/>
    <w:rsid w:val="00EF5D44"/>
    <w:rsid w:val="00F27FE8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266CB"/>
  <w15:chartTrackingRefBased/>
  <w15:docId w15:val="{2E15DC1D-4441-4EDD-9244-E83BB325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8D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ECF7-8699-43F4-A295-BB10C961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Cantarella</dc:creator>
  <cp:keywords/>
  <dc:description/>
  <cp:lastModifiedBy>Simona Cantarella</cp:lastModifiedBy>
  <cp:revision>8</cp:revision>
  <dcterms:created xsi:type="dcterms:W3CDTF">2019-10-07T09:31:00Z</dcterms:created>
  <dcterms:modified xsi:type="dcterms:W3CDTF">2019-10-08T16:32:00Z</dcterms:modified>
</cp:coreProperties>
</file>